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E65" w:rsidRPr="0068096D" w:rsidRDefault="00070E65" w:rsidP="00070E65">
      <w:pPr>
        <w:pStyle w:val="a9"/>
        <w:ind w:rightChars="98" w:right="315" w:firstLineChars="54" w:firstLine="314"/>
        <w:jc w:val="distribute"/>
        <w:rPr>
          <w:b/>
          <w:bCs/>
          <w:color w:val="FF0000"/>
          <w:w w:val="80"/>
          <w:sz w:val="72"/>
        </w:rPr>
      </w:pPr>
      <w:r w:rsidRPr="0068096D">
        <w:rPr>
          <w:b/>
          <w:bCs/>
          <w:color w:val="FF0000"/>
          <w:w w:val="80"/>
          <w:sz w:val="72"/>
        </w:rPr>
        <w:t>济宁市</w:t>
      </w:r>
      <w:r>
        <w:rPr>
          <w:rFonts w:hint="eastAsia"/>
          <w:b/>
          <w:bCs/>
          <w:color w:val="FF0000"/>
          <w:w w:val="80"/>
          <w:sz w:val="72"/>
        </w:rPr>
        <w:t>应急管理局</w:t>
      </w:r>
    </w:p>
    <w:p w:rsidR="00C930C9" w:rsidRPr="00070E65" w:rsidRDefault="00070E65" w:rsidP="00070E65">
      <w:pPr>
        <w:wordWrap w:val="0"/>
        <w:spacing w:line="580" w:lineRule="exact"/>
        <w:ind w:right="400" w:firstLine="402"/>
        <w:rPr>
          <w:rFonts w:eastAsia="仿宋_GB2312"/>
          <w:bCs/>
          <w:szCs w:val="32"/>
        </w:rPr>
      </w:pPr>
      <w:r w:rsidRPr="00443CE0">
        <w:rPr>
          <w:rFonts w:eastAsiaTheme="minorEastAsia"/>
          <w:noProof/>
          <w:color w:val="000000"/>
          <w:sz w:val="20"/>
          <w:szCs w:val="44"/>
        </w:rPr>
        <w:pict>
          <v:line id="_x0000_s1026" style="position:absolute;left:0;text-align:left;z-index:251658240" from="-1.4pt,1.8pt" to="441pt,1.8pt" strokecolor="red" strokeweight="4.5pt">
            <v:stroke linestyle="thickThin"/>
          </v:line>
        </w:pict>
      </w:r>
    </w:p>
    <w:p w:rsidR="00C930C9" w:rsidRPr="00C930C9" w:rsidRDefault="00C930C9" w:rsidP="00070E65">
      <w:pPr>
        <w:spacing w:line="520" w:lineRule="exact"/>
        <w:ind w:firstLineChars="0" w:firstLine="0"/>
        <w:jc w:val="center"/>
        <w:rPr>
          <w:rFonts w:ascii="方正小标宋简体" w:eastAsia="方正小标宋简体" w:hAnsi="方正小标宋简体" w:cs="方正小标宋简体"/>
          <w:sz w:val="44"/>
        </w:rPr>
      </w:pPr>
      <w:r w:rsidRPr="00C930C9">
        <w:rPr>
          <w:rFonts w:ascii="方正小标宋简体" w:eastAsia="方正小标宋简体" w:hAnsi="方正小标宋简体" w:cs="方正小标宋简体" w:hint="eastAsia"/>
          <w:sz w:val="44"/>
        </w:rPr>
        <w:t>关于征求《特种作业目录》修</w:t>
      </w:r>
      <w:r w:rsidR="00446B30">
        <w:rPr>
          <w:rFonts w:ascii="方正小标宋简体" w:eastAsia="方正小标宋简体" w:hAnsi="方正小标宋简体" w:cs="方正小标宋简体" w:hint="eastAsia"/>
          <w:sz w:val="44"/>
        </w:rPr>
        <w:t>订</w:t>
      </w:r>
      <w:r w:rsidRPr="00C930C9">
        <w:rPr>
          <w:rFonts w:ascii="方正小标宋简体" w:eastAsia="方正小标宋简体" w:hAnsi="方正小标宋简体" w:cs="方正小标宋简体" w:hint="eastAsia"/>
          <w:sz w:val="44"/>
        </w:rPr>
        <w:t>意见的通知</w:t>
      </w:r>
    </w:p>
    <w:p w:rsidR="00C930C9" w:rsidRPr="00C930C9" w:rsidRDefault="00C930C9" w:rsidP="001304CB">
      <w:pPr>
        <w:spacing w:line="520" w:lineRule="exact"/>
        <w:ind w:firstLine="643"/>
        <w:rPr>
          <w:rFonts w:ascii="Calibri" w:eastAsia="Calibri" w:hAnsi="Calibri" w:cs="Calibri"/>
        </w:rPr>
      </w:pPr>
    </w:p>
    <w:p w:rsidR="00C930C9" w:rsidRDefault="00C930C9" w:rsidP="001304CB">
      <w:pPr>
        <w:spacing w:line="520" w:lineRule="exact"/>
        <w:ind w:firstLineChars="0" w:firstLine="0"/>
        <w:rPr>
          <w:rFonts w:ascii="方正仿宋简体" w:hAnsi="宋体" w:cs="宋体"/>
          <w:szCs w:val="32"/>
        </w:rPr>
      </w:pPr>
      <w:r w:rsidRPr="00C930C9">
        <w:rPr>
          <w:rFonts w:ascii="方正仿宋简体" w:hAnsi="宋体" w:cs="宋体" w:hint="eastAsia"/>
          <w:szCs w:val="32"/>
        </w:rPr>
        <w:t>各县（市、区）应急局（安监局），济宁高新区应急管理局、太白湖新区、济宁经济技术开发区安监局，</w:t>
      </w:r>
      <w:r w:rsidR="008E0604">
        <w:rPr>
          <w:rFonts w:ascii="方正仿宋简体" w:hAnsi="宋体" w:cs="宋体" w:hint="eastAsia"/>
          <w:szCs w:val="32"/>
        </w:rPr>
        <w:t>局有关科室，市安全生产技术服务中心，</w:t>
      </w:r>
      <w:r w:rsidRPr="00C930C9">
        <w:rPr>
          <w:rFonts w:ascii="方正仿宋简体" w:hAnsi="宋体" w:cs="宋体" w:hint="eastAsia"/>
          <w:szCs w:val="32"/>
        </w:rPr>
        <w:t>安全培训机构，安全生产资格考试点</w:t>
      </w:r>
      <w:r>
        <w:rPr>
          <w:rFonts w:ascii="方正仿宋简体" w:hAnsi="宋体" w:cs="宋体" w:hint="eastAsia"/>
          <w:szCs w:val="32"/>
        </w:rPr>
        <w:t>，有关企业</w:t>
      </w:r>
      <w:r w:rsidRPr="00C930C9">
        <w:rPr>
          <w:rFonts w:ascii="方正仿宋简体" w:hAnsi="宋体" w:cs="宋体" w:hint="eastAsia"/>
          <w:szCs w:val="32"/>
        </w:rPr>
        <w:t>：</w:t>
      </w:r>
    </w:p>
    <w:p w:rsidR="00C930C9" w:rsidRDefault="00C930C9" w:rsidP="001304CB">
      <w:pPr>
        <w:spacing w:line="520" w:lineRule="exact"/>
        <w:ind w:firstLine="643"/>
        <w:rPr>
          <w:rFonts w:ascii="方正仿宋简体" w:hAnsi="宋体" w:cs="宋体"/>
          <w:szCs w:val="32"/>
        </w:rPr>
      </w:pPr>
      <w:r>
        <w:rPr>
          <w:rFonts w:ascii="方正仿宋简体" w:hAnsi="宋体" w:cs="宋体" w:hint="eastAsia"/>
          <w:szCs w:val="32"/>
        </w:rPr>
        <w:t>根据国家应急管理部</w:t>
      </w:r>
      <w:r w:rsidR="00541539">
        <w:rPr>
          <w:rFonts w:ascii="方正仿宋简体" w:hAnsi="宋体" w:cs="宋体" w:hint="eastAsia"/>
          <w:szCs w:val="32"/>
        </w:rPr>
        <w:t>、</w:t>
      </w:r>
      <w:r>
        <w:rPr>
          <w:rFonts w:ascii="方正仿宋简体" w:hAnsi="宋体" w:cs="宋体" w:hint="eastAsia"/>
          <w:szCs w:val="32"/>
        </w:rPr>
        <w:t>省应急管理厅的要求，</w:t>
      </w:r>
      <w:r w:rsidR="00541539">
        <w:rPr>
          <w:rFonts w:ascii="方正仿宋简体" w:hAnsi="宋体" w:cs="宋体" w:hint="eastAsia"/>
          <w:szCs w:val="32"/>
        </w:rPr>
        <w:t>决定征求</w:t>
      </w:r>
      <w:r w:rsidR="00541539" w:rsidRPr="00541539">
        <w:rPr>
          <w:rFonts w:ascii="方正仿宋简体" w:hAnsi="宋体" w:cs="宋体" w:hint="eastAsia"/>
          <w:szCs w:val="32"/>
        </w:rPr>
        <w:t>《特种作业目录》</w:t>
      </w:r>
      <w:r w:rsidR="00541539">
        <w:rPr>
          <w:rFonts w:ascii="方正仿宋简体" w:hAnsi="宋体" w:cs="宋体" w:hint="eastAsia"/>
          <w:szCs w:val="32"/>
        </w:rPr>
        <w:t>修订意见。现将有关事项通知如下：</w:t>
      </w:r>
    </w:p>
    <w:p w:rsidR="00541539" w:rsidRPr="00721CA2" w:rsidRDefault="00541539" w:rsidP="001304CB">
      <w:pPr>
        <w:spacing w:line="520" w:lineRule="exact"/>
        <w:ind w:firstLine="643"/>
        <w:jc w:val="left"/>
        <w:rPr>
          <w:rFonts w:ascii="方正黑体简体" w:eastAsia="方正黑体简体" w:hAnsi="方正仿宋简体" w:cs="方正仿宋简体"/>
          <w:szCs w:val="32"/>
        </w:rPr>
      </w:pPr>
      <w:r w:rsidRPr="00721CA2">
        <w:rPr>
          <w:rFonts w:ascii="方正黑体简体" w:eastAsia="方正黑体简体" w:hAnsi="方正仿宋简体" w:cs="方正仿宋简体" w:hint="eastAsia"/>
          <w:szCs w:val="32"/>
        </w:rPr>
        <w:t>一、明确修订意义</w:t>
      </w:r>
    </w:p>
    <w:p w:rsidR="00541539" w:rsidRDefault="00541539" w:rsidP="001304CB">
      <w:pPr>
        <w:spacing w:line="520" w:lineRule="exact"/>
        <w:ind w:firstLine="643"/>
        <w:jc w:val="left"/>
        <w:rPr>
          <w:rFonts w:ascii="方正仿宋简体" w:hAnsi="方正仿宋简体" w:cs="方正仿宋简体"/>
          <w:szCs w:val="32"/>
        </w:rPr>
      </w:pPr>
      <w:r>
        <w:rPr>
          <w:rFonts w:ascii="方正仿宋简体" w:hAnsi="方正仿宋简体" w:cs="方正仿宋简体" w:hint="eastAsia"/>
          <w:szCs w:val="32"/>
        </w:rPr>
        <w:t>特种作业是指容易发生事故，对操作者本人、他人的安全健康及设备、设施的安全可能造成重大危害的作业。《安全生产法》第二十七条规定：生产经营单位的特种作业人员必须按照国家有关规定经专门的安全作业培训，取得相应资格，方可上岗作业。实行特种作业人员安全准入管理是安全生产领域一项重要的基本制度，对提升从业人员安全素质、防范和遏制生产安全事故具有重要作用。现行的《特种作业目录》（原国家安全监管总局令第30号，以下简称《目录》）实施8年多来，充</w:t>
      </w:r>
      <w:bookmarkStart w:id="0" w:name="_GoBack"/>
      <w:bookmarkEnd w:id="0"/>
      <w:r>
        <w:rPr>
          <w:rFonts w:ascii="方正仿宋简体" w:hAnsi="方正仿宋简体" w:cs="方正仿宋简体" w:hint="eastAsia"/>
          <w:szCs w:val="32"/>
        </w:rPr>
        <w:t>分发挥了安全保障作用，但也逐渐出现了一些不适应不符合的问题，主要包括：有的操作项目不再具有纳入特种作业管理的重大安全风险，有的行业领域特种作业范围设置较宽泛，随着新业态新情况的出现有一些容易引发人员伤亡的操作项目没有及时纳入特种作业管理等。为此，</w:t>
      </w:r>
      <w:r>
        <w:rPr>
          <w:rFonts w:ascii="方正仿宋简体" w:hAnsi="方正仿宋简体" w:cs="方正仿宋简体" w:hint="eastAsia"/>
          <w:szCs w:val="32"/>
        </w:rPr>
        <w:lastRenderedPageBreak/>
        <w:t>应急管理部决定启动《目录》修订工作，并广泛征求修订意见。</w:t>
      </w:r>
    </w:p>
    <w:p w:rsidR="00A85CE2" w:rsidRPr="00721CA2" w:rsidRDefault="00541539" w:rsidP="001304CB">
      <w:pPr>
        <w:spacing w:line="520" w:lineRule="exact"/>
        <w:ind w:firstLine="643"/>
        <w:jc w:val="left"/>
        <w:rPr>
          <w:rFonts w:ascii="方正黑体简体" w:eastAsia="方正黑体简体" w:hAnsi="方正仿宋简体" w:cs="方正仿宋简体"/>
          <w:szCs w:val="32"/>
        </w:rPr>
      </w:pPr>
      <w:r w:rsidRPr="00721CA2">
        <w:rPr>
          <w:rFonts w:ascii="方正黑体简体" w:eastAsia="方正黑体简体" w:hAnsi="方正仿宋简体" w:cs="方正仿宋简体" w:hint="eastAsia"/>
          <w:szCs w:val="32"/>
        </w:rPr>
        <w:t>二、把握</w:t>
      </w:r>
      <w:r w:rsidR="00A85CE2" w:rsidRPr="00721CA2">
        <w:rPr>
          <w:rFonts w:ascii="方正黑体简体" w:eastAsia="方正黑体简体" w:hAnsi="方正仿宋简体" w:cs="方正仿宋简体" w:hint="eastAsia"/>
          <w:szCs w:val="32"/>
        </w:rPr>
        <w:t>修订原则</w:t>
      </w:r>
    </w:p>
    <w:p w:rsidR="00A85CE2" w:rsidRDefault="00A85CE2" w:rsidP="001304CB">
      <w:pPr>
        <w:spacing w:line="520" w:lineRule="exact"/>
        <w:ind w:firstLine="643"/>
        <w:rPr>
          <w:rFonts w:ascii="方正仿宋简体" w:hAnsi="宋体" w:cs="宋体"/>
          <w:szCs w:val="32"/>
        </w:rPr>
      </w:pPr>
      <w:r>
        <w:rPr>
          <w:rFonts w:ascii="方正仿宋简体" w:hAnsi="宋体" w:cs="宋体" w:hint="eastAsia"/>
          <w:szCs w:val="32"/>
        </w:rPr>
        <w:t>一是坚持以预防事故</w:t>
      </w:r>
      <w:r w:rsidR="008E0604">
        <w:rPr>
          <w:rFonts w:ascii="方正仿宋简体" w:hAnsi="宋体" w:cs="宋体" w:hint="eastAsia"/>
          <w:szCs w:val="32"/>
        </w:rPr>
        <w:t>风险</w:t>
      </w:r>
      <w:r>
        <w:rPr>
          <w:rFonts w:ascii="方正仿宋简体" w:hAnsi="宋体" w:cs="宋体" w:hint="eastAsia"/>
          <w:szCs w:val="32"/>
        </w:rPr>
        <w:t>为导向，深刻分析汲取事故教训，聚焦事故暴露出的问题调整《目录》。二是坚持主动适应“放管服”</w:t>
      </w:r>
      <w:r w:rsidR="00FA4FD3">
        <w:rPr>
          <w:rFonts w:ascii="方正仿宋简体" w:hAnsi="宋体" w:cs="宋体" w:hint="eastAsia"/>
          <w:szCs w:val="32"/>
        </w:rPr>
        <w:t>要求，准确把握特种作业由专人操作、有独立岗位、操作事故不当引发事故的特殊性，严格控制新增操作项目，充分论证原操作项目的必要性，合理控制特种作业总量。三是坚持充分发扬民主、广泛征求意见，注重征求广大企业及其从业人员、有关部门和行业协会等单位的意见。四是坚持总体稳定、适当修改，对普遍要求修改、实践证明成熟、具有广泛共识的内容进行必要和适当的修改，对可留可不留的原则上不保留，对纳入《目录》争议较大的原则上不新增，确保《目录》的连续性、稳定性、权威性。</w:t>
      </w:r>
    </w:p>
    <w:p w:rsidR="00541539" w:rsidRPr="00721CA2" w:rsidRDefault="00541539" w:rsidP="001304CB">
      <w:pPr>
        <w:spacing w:line="520" w:lineRule="exact"/>
        <w:ind w:firstLine="643"/>
        <w:jc w:val="left"/>
        <w:rPr>
          <w:rFonts w:ascii="方正黑体简体" w:eastAsia="方正黑体简体" w:hAnsi="方正仿宋简体" w:cs="方正仿宋简体"/>
          <w:szCs w:val="32"/>
        </w:rPr>
      </w:pPr>
      <w:r w:rsidRPr="00721CA2">
        <w:rPr>
          <w:rFonts w:ascii="方正黑体简体" w:eastAsia="方正黑体简体" w:hAnsi="方正仿宋简体" w:cs="方正仿宋简体" w:hint="eastAsia"/>
          <w:szCs w:val="32"/>
        </w:rPr>
        <w:t>三、及时报送材料</w:t>
      </w:r>
    </w:p>
    <w:p w:rsidR="00FA4FD3" w:rsidRDefault="00FA4FD3" w:rsidP="001304CB">
      <w:pPr>
        <w:spacing w:line="520" w:lineRule="exact"/>
        <w:ind w:firstLine="643"/>
        <w:rPr>
          <w:rFonts w:ascii="方正仿宋简体" w:hAnsi="宋体" w:cs="宋体"/>
          <w:szCs w:val="32"/>
        </w:rPr>
      </w:pPr>
      <w:r>
        <w:rPr>
          <w:rFonts w:ascii="方正仿宋简体" w:hAnsi="宋体" w:cs="宋体" w:hint="eastAsia"/>
          <w:szCs w:val="32"/>
        </w:rPr>
        <w:t>请各单位于1月25日12:00前，将《&lt;特种作业目录&gt;修订意见与建议表》电子版报市安全生产技术服务中心。联系人：周升国，联系电话0537-2907736，电子邮箱：</w:t>
      </w:r>
      <w:hyperlink r:id="rId8" w:history="1">
        <w:r w:rsidRPr="00FA4FD3">
          <w:rPr>
            <w:rFonts w:ascii="方正仿宋简体" w:hint="eastAsia"/>
          </w:rPr>
          <w:t>jnsajjfwzx@ji.shandong.cn</w:t>
        </w:r>
      </w:hyperlink>
      <w:r w:rsidRPr="00FA4FD3">
        <w:rPr>
          <w:rFonts w:ascii="方正仿宋简体" w:hAnsi="宋体" w:cs="宋体" w:hint="eastAsia"/>
          <w:szCs w:val="32"/>
        </w:rPr>
        <w:t>。</w:t>
      </w:r>
    </w:p>
    <w:p w:rsidR="00FA4FD3" w:rsidRDefault="00FA4FD3" w:rsidP="001304CB">
      <w:pPr>
        <w:spacing w:line="520" w:lineRule="exact"/>
        <w:ind w:firstLine="643"/>
        <w:rPr>
          <w:rFonts w:ascii="方正仿宋简体" w:hAnsi="宋体" w:cs="宋体"/>
          <w:szCs w:val="32"/>
        </w:rPr>
      </w:pPr>
    </w:p>
    <w:p w:rsidR="00FA4FD3" w:rsidRDefault="00FA4FD3" w:rsidP="001304CB">
      <w:pPr>
        <w:spacing w:line="520" w:lineRule="exact"/>
        <w:ind w:firstLine="643"/>
        <w:rPr>
          <w:rFonts w:ascii="方正仿宋简体" w:hAnsi="宋体" w:cs="宋体"/>
          <w:szCs w:val="32"/>
        </w:rPr>
      </w:pPr>
      <w:r>
        <w:rPr>
          <w:rFonts w:ascii="方正仿宋简体" w:hAnsi="宋体" w:cs="宋体" w:hint="eastAsia"/>
          <w:szCs w:val="32"/>
        </w:rPr>
        <w:t>附件：《特种作业目录》修订意见与建议表</w:t>
      </w:r>
    </w:p>
    <w:p w:rsidR="00FA4FD3" w:rsidRDefault="00FA4FD3" w:rsidP="001304CB">
      <w:pPr>
        <w:spacing w:line="520" w:lineRule="exact"/>
        <w:ind w:firstLine="643"/>
        <w:rPr>
          <w:rFonts w:ascii="方正仿宋简体" w:hAnsi="宋体" w:cs="宋体"/>
          <w:szCs w:val="32"/>
        </w:rPr>
      </w:pPr>
    </w:p>
    <w:p w:rsidR="00FA4FD3" w:rsidRDefault="00FA4FD3" w:rsidP="001304CB">
      <w:pPr>
        <w:spacing w:line="520" w:lineRule="exact"/>
        <w:ind w:firstLine="643"/>
        <w:jc w:val="right"/>
        <w:rPr>
          <w:rFonts w:ascii="方正仿宋简体" w:hAnsi="宋体" w:cs="宋体"/>
          <w:szCs w:val="32"/>
        </w:rPr>
      </w:pPr>
      <w:r>
        <w:rPr>
          <w:rFonts w:ascii="方正仿宋简体" w:hAnsi="宋体" w:cs="宋体" w:hint="eastAsia"/>
          <w:szCs w:val="32"/>
        </w:rPr>
        <w:t>济宁市应急管理局</w:t>
      </w:r>
    </w:p>
    <w:p w:rsidR="00FA4FD3" w:rsidRDefault="00FA4FD3" w:rsidP="001304CB">
      <w:pPr>
        <w:spacing w:line="520" w:lineRule="exact"/>
        <w:ind w:firstLine="643"/>
        <w:jc w:val="right"/>
        <w:rPr>
          <w:rFonts w:ascii="方正仿宋简体" w:hAnsi="宋体" w:cs="宋体"/>
          <w:szCs w:val="32"/>
        </w:rPr>
      </w:pPr>
      <w:r>
        <w:rPr>
          <w:rFonts w:ascii="方正仿宋简体" w:hAnsi="宋体" w:cs="宋体"/>
          <w:szCs w:val="32"/>
        </w:rPr>
        <w:t>2019年1月2</w:t>
      </w:r>
      <w:r>
        <w:rPr>
          <w:rFonts w:ascii="方正仿宋简体" w:hAnsi="宋体" w:cs="宋体" w:hint="eastAsia"/>
          <w:szCs w:val="32"/>
        </w:rPr>
        <w:t>2</w:t>
      </w:r>
      <w:r>
        <w:rPr>
          <w:rFonts w:ascii="方正仿宋简体" w:hAnsi="宋体" w:cs="宋体"/>
          <w:szCs w:val="32"/>
        </w:rPr>
        <w:t>日</w:t>
      </w:r>
    </w:p>
    <w:p w:rsidR="00FA4FD3" w:rsidRDefault="00FA4FD3" w:rsidP="001304CB">
      <w:pPr>
        <w:ind w:firstLine="643"/>
        <w:jc w:val="right"/>
        <w:rPr>
          <w:rFonts w:ascii="方正仿宋简体" w:hAnsi="宋体" w:cs="宋体"/>
          <w:szCs w:val="32"/>
        </w:rPr>
      </w:pPr>
    </w:p>
    <w:p w:rsidR="00FA4FD3" w:rsidRDefault="00FA4FD3" w:rsidP="001304CB">
      <w:pPr>
        <w:ind w:firstLine="643"/>
        <w:rPr>
          <w:rFonts w:ascii="方正仿宋简体" w:hAnsi="宋体" w:cs="宋体"/>
          <w:szCs w:val="32"/>
        </w:rPr>
      </w:pPr>
    </w:p>
    <w:p w:rsidR="001304CB" w:rsidRDefault="001304CB" w:rsidP="001304CB">
      <w:pPr>
        <w:ind w:firstLine="643"/>
        <w:rPr>
          <w:rFonts w:ascii="方正仿宋简体" w:hAnsi="宋体" w:cs="宋体"/>
          <w:szCs w:val="32"/>
        </w:rPr>
        <w:sectPr w:rsidR="001304CB" w:rsidSect="001304CB">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cols w:space="425"/>
          <w:docGrid w:type="lines" w:linePitch="437"/>
        </w:sectPr>
      </w:pPr>
    </w:p>
    <w:p w:rsidR="00FA4FD3" w:rsidRDefault="00FA4FD3" w:rsidP="001304CB">
      <w:pPr>
        <w:spacing w:line="500" w:lineRule="exact"/>
        <w:ind w:firstLineChars="0" w:firstLine="0"/>
        <w:rPr>
          <w:rFonts w:ascii="方正仿宋简体" w:hAnsi="宋体" w:cs="宋体"/>
          <w:szCs w:val="32"/>
        </w:rPr>
      </w:pPr>
      <w:r>
        <w:rPr>
          <w:rFonts w:ascii="方正仿宋简体" w:hAnsi="宋体" w:cs="宋体" w:hint="eastAsia"/>
          <w:szCs w:val="32"/>
        </w:rPr>
        <w:lastRenderedPageBreak/>
        <w:t>附件：</w:t>
      </w:r>
    </w:p>
    <w:p w:rsidR="00FA4FD3" w:rsidRDefault="00FA4FD3" w:rsidP="001304CB">
      <w:pPr>
        <w:spacing w:line="500" w:lineRule="exact"/>
        <w:ind w:firstLine="883"/>
        <w:jc w:val="center"/>
        <w:rPr>
          <w:rFonts w:ascii="方正小标宋简体" w:eastAsia="方正小标宋简体" w:hAnsi="宋体" w:cs="宋体"/>
          <w:sz w:val="44"/>
          <w:szCs w:val="44"/>
        </w:rPr>
      </w:pPr>
      <w:r w:rsidRPr="00FA4FD3">
        <w:rPr>
          <w:rFonts w:ascii="方正小标宋简体" w:eastAsia="方正小标宋简体" w:hAnsi="宋体" w:cs="宋体" w:hint="eastAsia"/>
          <w:sz w:val="44"/>
          <w:szCs w:val="44"/>
        </w:rPr>
        <w:t>《特种作业目录》修订意见与建议表</w:t>
      </w:r>
      <w:r>
        <w:rPr>
          <w:rFonts w:ascii="方正小标宋简体" w:eastAsia="方正小标宋简体" w:hAnsi="宋体" w:cs="宋体" w:hint="eastAsia"/>
          <w:sz w:val="44"/>
          <w:szCs w:val="44"/>
        </w:rPr>
        <w:t>（示例）</w:t>
      </w:r>
    </w:p>
    <w:p w:rsidR="007A2F61" w:rsidRPr="007A2F61" w:rsidRDefault="007A2F61" w:rsidP="001304CB">
      <w:pPr>
        <w:spacing w:line="400" w:lineRule="exact"/>
        <w:ind w:firstLineChars="0" w:firstLine="0"/>
        <w:jc w:val="right"/>
      </w:pPr>
      <w:r w:rsidRPr="007A2F61">
        <w:rPr>
          <w:rFonts w:hint="eastAsia"/>
        </w:rPr>
        <w:t>联系人：</w:t>
      </w:r>
      <w:r>
        <w:rPr>
          <w:rFonts w:hint="eastAsia"/>
        </w:rPr>
        <w:t xml:space="preserve">           </w:t>
      </w:r>
      <w:r w:rsidRPr="007A2F61">
        <w:rPr>
          <w:rFonts w:hint="eastAsia"/>
        </w:rPr>
        <w:t>联系电话：</w:t>
      </w:r>
      <w:r>
        <w:rPr>
          <w:rFonts w:hint="eastAsia"/>
        </w:rPr>
        <w:t xml:space="preserve">              </w:t>
      </w:r>
    </w:p>
    <w:tbl>
      <w:tblPr>
        <w:tblStyle w:val="a5"/>
        <w:tblpPr w:leftFromText="180" w:rightFromText="180" w:vertAnchor="text" w:tblpY="1"/>
        <w:tblOverlap w:val="never"/>
        <w:tblW w:w="14579" w:type="dxa"/>
        <w:tblLook w:val="04A0"/>
      </w:tblPr>
      <w:tblGrid>
        <w:gridCol w:w="760"/>
        <w:gridCol w:w="1358"/>
        <w:gridCol w:w="1883"/>
        <w:gridCol w:w="4861"/>
        <w:gridCol w:w="4394"/>
        <w:gridCol w:w="1323"/>
      </w:tblGrid>
      <w:tr w:rsidR="00FA4FD3" w:rsidRPr="007A2F61" w:rsidTr="001304CB">
        <w:trPr>
          <w:trHeight w:val="517"/>
        </w:trPr>
        <w:tc>
          <w:tcPr>
            <w:tcW w:w="760" w:type="dxa"/>
            <w:vAlign w:val="center"/>
          </w:tcPr>
          <w:p w:rsidR="00FA4FD3" w:rsidRPr="007A2F61" w:rsidRDefault="00FB4815" w:rsidP="001304CB">
            <w:pPr>
              <w:spacing w:line="240" w:lineRule="exact"/>
              <w:ind w:firstLineChars="0" w:firstLine="0"/>
              <w:jc w:val="center"/>
              <w:rPr>
                <w:rFonts w:ascii="方正黑体简体" w:eastAsia="方正黑体简体"/>
                <w:sz w:val="24"/>
                <w:szCs w:val="24"/>
              </w:rPr>
            </w:pPr>
            <w:r w:rsidRPr="007A2F61">
              <w:rPr>
                <w:rFonts w:ascii="方正黑体简体" w:eastAsia="方正黑体简体" w:hint="eastAsia"/>
                <w:sz w:val="24"/>
                <w:szCs w:val="24"/>
              </w:rPr>
              <w:t>序号</w:t>
            </w:r>
          </w:p>
        </w:tc>
        <w:tc>
          <w:tcPr>
            <w:tcW w:w="1358" w:type="dxa"/>
            <w:vAlign w:val="center"/>
          </w:tcPr>
          <w:p w:rsidR="00FA4FD3" w:rsidRPr="007A2F61" w:rsidRDefault="00FB4815" w:rsidP="001304CB">
            <w:pPr>
              <w:spacing w:line="240" w:lineRule="exact"/>
              <w:ind w:firstLineChars="0" w:firstLine="0"/>
              <w:jc w:val="center"/>
              <w:rPr>
                <w:rFonts w:ascii="方正黑体简体" w:eastAsia="方正黑体简体"/>
                <w:sz w:val="24"/>
                <w:szCs w:val="24"/>
              </w:rPr>
            </w:pPr>
            <w:r w:rsidRPr="007A2F61">
              <w:rPr>
                <w:rFonts w:ascii="方正黑体简体" w:eastAsia="方正黑体简体" w:hint="eastAsia"/>
                <w:sz w:val="24"/>
                <w:szCs w:val="24"/>
              </w:rPr>
              <w:t>原目录</w:t>
            </w:r>
          </w:p>
        </w:tc>
        <w:tc>
          <w:tcPr>
            <w:tcW w:w="1883" w:type="dxa"/>
            <w:vAlign w:val="center"/>
          </w:tcPr>
          <w:p w:rsidR="00FB4815" w:rsidRPr="007A2F61" w:rsidRDefault="00FB4815" w:rsidP="001304CB">
            <w:pPr>
              <w:spacing w:line="240" w:lineRule="exact"/>
              <w:ind w:firstLineChars="0" w:firstLine="0"/>
              <w:jc w:val="center"/>
              <w:rPr>
                <w:rFonts w:ascii="方正黑体简体" w:eastAsia="方正黑体简体"/>
                <w:sz w:val="24"/>
                <w:szCs w:val="24"/>
              </w:rPr>
            </w:pPr>
            <w:r w:rsidRPr="007A2F61">
              <w:rPr>
                <w:rFonts w:ascii="方正黑体简体" w:eastAsia="方正黑体简体" w:hint="eastAsia"/>
                <w:sz w:val="24"/>
                <w:szCs w:val="24"/>
              </w:rPr>
              <w:t>修改方向</w:t>
            </w:r>
          </w:p>
          <w:p w:rsidR="00FA4FD3" w:rsidRPr="007A2F61" w:rsidRDefault="00FB4815" w:rsidP="001304CB">
            <w:pPr>
              <w:spacing w:line="240" w:lineRule="exact"/>
              <w:ind w:firstLineChars="0" w:firstLine="0"/>
              <w:jc w:val="center"/>
              <w:rPr>
                <w:rFonts w:ascii="方正黑体简体" w:eastAsia="方正黑体简体"/>
                <w:sz w:val="24"/>
                <w:szCs w:val="24"/>
              </w:rPr>
            </w:pPr>
            <w:r w:rsidRPr="007A2F61">
              <w:rPr>
                <w:rFonts w:ascii="方正黑体简体" w:eastAsia="方正黑体简体" w:hint="eastAsia"/>
                <w:sz w:val="24"/>
                <w:szCs w:val="24"/>
              </w:rPr>
              <w:t>（增/改/删）</w:t>
            </w:r>
          </w:p>
        </w:tc>
        <w:tc>
          <w:tcPr>
            <w:tcW w:w="4861" w:type="dxa"/>
            <w:vAlign w:val="center"/>
          </w:tcPr>
          <w:p w:rsidR="00FA4FD3" w:rsidRPr="007A2F61" w:rsidRDefault="00FB4815" w:rsidP="001304CB">
            <w:pPr>
              <w:spacing w:line="240" w:lineRule="exact"/>
              <w:ind w:firstLineChars="0" w:firstLine="0"/>
              <w:jc w:val="center"/>
              <w:rPr>
                <w:rFonts w:ascii="方正黑体简体" w:eastAsia="方正黑体简体"/>
                <w:sz w:val="24"/>
                <w:szCs w:val="24"/>
              </w:rPr>
            </w:pPr>
            <w:r w:rsidRPr="007A2F61">
              <w:rPr>
                <w:rFonts w:ascii="方正黑体简体" w:eastAsia="方正黑体简体" w:hint="eastAsia"/>
                <w:sz w:val="24"/>
                <w:szCs w:val="24"/>
              </w:rPr>
              <w:t>具体修订意见</w:t>
            </w:r>
          </w:p>
        </w:tc>
        <w:tc>
          <w:tcPr>
            <w:tcW w:w="4394" w:type="dxa"/>
            <w:vAlign w:val="center"/>
          </w:tcPr>
          <w:p w:rsidR="00FA4FD3" w:rsidRPr="007A2F61" w:rsidRDefault="00FB4815" w:rsidP="001304CB">
            <w:pPr>
              <w:ind w:firstLineChars="0" w:firstLine="0"/>
              <w:jc w:val="center"/>
              <w:rPr>
                <w:rFonts w:ascii="方正黑体简体" w:eastAsia="方正黑体简体"/>
                <w:sz w:val="24"/>
                <w:szCs w:val="24"/>
              </w:rPr>
            </w:pPr>
            <w:r w:rsidRPr="007A2F61">
              <w:rPr>
                <w:rFonts w:ascii="方正黑体简体" w:eastAsia="方正黑体简体" w:hint="eastAsia"/>
                <w:sz w:val="24"/>
                <w:szCs w:val="24"/>
              </w:rPr>
              <w:t>理由</w:t>
            </w:r>
          </w:p>
        </w:tc>
        <w:tc>
          <w:tcPr>
            <w:tcW w:w="1323" w:type="dxa"/>
            <w:vAlign w:val="center"/>
          </w:tcPr>
          <w:p w:rsidR="00FA4FD3" w:rsidRPr="007A2F61" w:rsidRDefault="00FB4815" w:rsidP="001304CB">
            <w:pPr>
              <w:ind w:firstLineChars="0" w:firstLine="0"/>
              <w:jc w:val="center"/>
              <w:rPr>
                <w:rFonts w:ascii="方正黑体简体" w:eastAsia="方正黑体简体"/>
                <w:sz w:val="24"/>
                <w:szCs w:val="24"/>
              </w:rPr>
            </w:pPr>
            <w:r w:rsidRPr="007A2F61">
              <w:rPr>
                <w:rFonts w:ascii="方正黑体简体" w:eastAsia="方正黑体简体" w:hint="eastAsia"/>
                <w:sz w:val="24"/>
                <w:szCs w:val="24"/>
              </w:rPr>
              <w:t>备注</w:t>
            </w:r>
          </w:p>
        </w:tc>
      </w:tr>
    </w:tbl>
    <w:tbl>
      <w:tblPr>
        <w:tblpPr w:leftFromText="180" w:rightFromText="180" w:vertAnchor="text" w:tblpY="1"/>
        <w:tblOverlap w:val="never"/>
        <w:tblW w:w="14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0"/>
        <w:gridCol w:w="1358"/>
        <w:gridCol w:w="1883"/>
        <w:gridCol w:w="4861"/>
        <w:gridCol w:w="4394"/>
        <w:gridCol w:w="1323"/>
      </w:tblGrid>
      <w:tr w:rsidR="00FA4FD3" w:rsidRPr="007A2F61" w:rsidTr="001304CB">
        <w:trPr>
          <w:trHeight w:val="1369"/>
        </w:trPr>
        <w:tc>
          <w:tcPr>
            <w:tcW w:w="760" w:type="dxa"/>
            <w:vAlign w:val="center"/>
          </w:tcPr>
          <w:p w:rsidR="00FA4FD3" w:rsidRPr="007A2F61" w:rsidRDefault="00FA4FD3" w:rsidP="001304CB">
            <w:pPr>
              <w:ind w:firstLineChars="0" w:firstLine="0"/>
              <w:jc w:val="center"/>
              <w:rPr>
                <w:sz w:val="24"/>
                <w:szCs w:val="24"/>
              </w:rPr>
            </w:pPr>
          </w:p>
        </w:tc>
        <w:tc>
          <w:tcPr>
            <w:tcW w:w="1358" w:type="dxa"/>
            <w:vAlign w:val="center"/>
          </w:tcPr>
          <w:p w:rsidR="00FA4FD3" w:rsidRPr="007A2F61" w:rsidRDefault="00FA4FD3" w:rsidP="001304CB">
            <w:pPr>
              <w:ind w:firstLineChars="0" w:firstLine="0"/>
              <w:jc w:val="center"/>
              <w:rPr>
                <w:sz w:val="24"/>
                <w:szCs w:val="24"/>
              </w:rPr>
            </w:pPr>
          </w:p>
        </w:tc>
        <w:tc>
          <w:tcPr>
            <w:tcW w:w="1883" w:type="dxa"/>
            <w:vAlign w:val="center"/>
          </w:tcPr>
          <w:p w:rsidR="00FA4FD3" w:rsidRPr="007A2F61" w:rsidRDefault="00FA4FD3" w:rsidP="001304CB">
            <w:pPr>
              <w:ind w:firstLineChars="0" w:firstLine="0"/>
              <w:jc w:val="center"/>
              <w:rPr>
                <w:sz w:val="24"/>
                <w:szCs w:val="24"/>
              </w:rPr>
            </w:pPr>
          </w:p>
        </w:tc>
        <w:tc>
          <w:tcPr>
            <w:tcW w:w="4861" w:type="dxa"/>
            <w:vAlign w:val="center"/>
          </w:tcPr>
          <w:p w:rsidR="00FA4FD3" w:rsidRPr="007A2F61" w:rsidRDefault="007A2F61" w:rsidP="001304CB">
            <w:pPr>
              <w:spacing w:line="320" w:lineRule="exact"/>
              <w:ind w:firstLineChars="0" w:firstLine="0"/>
              <w:jc w:val="left"/>
              <w:rPr>
                <w:sz w:val="24"/>
                <w:szCs w:val="24"/>
              </w:rPr>
            </w:pPr>
            <w:r w:rsidRPr="007A2F61">
              <w:rPr>
                <w:rFonts w:ascii="方正黑体简体" w:eastAsia="方正黑体简体" w:hint="eastAsia"/>
                <w:sz w:val="24"/>
                <w:szCs w:val="24"/>
              </w:rPr>
              <w:t>作业类别</w:t>
            </w:r>
            <w:r w:rsidRPr="007A2F61">
              <w:rPr>
                <w:rFonts w:hint="eastAsia"/>
                <w:sz w:val="24"/>
                <w:szCs w:val="24"/>
              </w:rPr>
              <w:t>：应急救援作业</w:t>
            </w:r>
          </w:p>
          <w:p w:rsidR="007A2F61" w:rsidRPr="007A2F61" w:rsidRDefault="007A2F61" w:rsidP="001304CB">
            <w:pPr>
              <w:spacing w:line="320" w:lineRule="exact"/>
              <w:ind w:firstLineChars="0" w:firstLine="0"/>
              <w:jc w:val="left"/>
              <w:rPr>
                <w:sz w:val="24"/>
                <w:szCs w:val="24"/>
              </w:rPr>
            </w:pPr>
            <w:r w:rsidRPr="007A2F61">
              <w:rPr>
                <w:rFonts w:ascii="方正黑体简体" w:eastAsia="方正黑体简体" w:hint="eastAsia"/>
                <w:sz w:val="24"/>
                <w:szCs w:val="24"/>
              </w:rPr>
              <w:t>操作项目</w:t>
            </w:r>
            <w:r w:rsidRPr="007A2F61">
              <w:rPr>
                <w:rFonts w:hint="eastAsia"/>
                <w:sz w:val="24"/>
                <w:szCs w:val="24"/>
              </w:rPr>
              <w:t>：矿山救援作业</w:t>
            </w:r>
          </w:p>
          <w:p w:rsidR="007A2F61" w:rsidRPr="007A2F61" w:rsidRDefault="007A2F61" w:rsidP="001304CB">
            <w:pPr>
              <w:spacing w:line="320" w:lineRule="exact"/>
              <w:ind w:firstLineChars="0" w:firstLine="0"/>
              <w:jc w:val="left"/>
              <w:rPr>
                <w:sz w:val="24"/>
                <w:szCs w:val="24"/>
              </w:rPr>
            </w:pPr>
            <w:r w:rsidRPr="007A2F61">
              <w:rPr>
                <w:rFonts w:ascii="方正黑体简体" w:eastAsia="方正黑体简体" w:hint="eastAsia"/>
                <w:sz w:val="24"/>
                <w:szCs w:val="24"/>
              </w:rPr>
              <w:t>定    义：</w:t>
            </w:r>
            <w:r w:rsidRPr="007A2F61">
              <w:rPr>
                <w:rFonts w:hint="eastAsia"/>
                <w:sz w:val="24"/>
                <w:szCs w:val="24"/>
              </w:rPr>
              <w:t>指使用氧气呼吸器等个体设备，携带救生装置专业工具，救援井下遇险遇难人员，处理矿山水、火、瓦斯与煤尘、顶板等灾害事故的职业性、技术性作业。</w:t>
            </w:r>
          </w:p>
          <w:p w:rsidR="007A2F61" w:rsidRPr="007A2F61" w:rsidRDefault="007A2F61" w:rsidP="001304CB">
            <w:pPr>
              <w:spacing w:line="320" w:lineRule="exact"/>
              <w:ind w:firstLineChars="0" w:firstLine="0"/>
              <w:jc w:val="left"/>
              <w:rPr>
                <w:sz w:val="24"/>
                <w:szCs w:val="24"/>
              </w:rPr>
            </w:pPr>
            <w:r w:rsidRPr="007A2F61">
              <w:rPr>
                <w:rFonts w:ascii="方正黑体简体" w:eastAsia="方正黑体简体" w:hint="eastAsia"/>
                <w:sz w:val="24"/>
                <w:szCs w:val="24"/>
              </w:rPr>
              <w:t>适用范围：</w:t>
            </w:r>
            <w:r w:rsidRPr="007A2F61">
              <w:rPr>
                <w:rFonts w:hint="eastAsia"/>
                <w:sz w:val="24"/>
                <w:szCs w:val="24"/>
              </w:rPr>
              <w:t>适用于煤矿，金属和非金属矿山灾害性事故应急救援作业。</w:t>
            </w:r>
          </w:p>
        </w:tc>
        <w:tc>
          <w:tcPr>
            <w:tcW w:w="4394" w:type="dxa"/>
            <w:vAlign w:val="center"/>
          </w:tcPr>
          <w:p w:rsidR="00FA4FD3" w:rsidRPr="00532BA5" w:rsidRDefault="00532BA5" w:rsidP="001304CB">
            <w:pPr>
              <w:spacing w:line="320" w:lineRule="exact"/>
              <w:ind w:firstLineChars="0" w:firstLine="0"/>
              <w:jc w:val="left"/>
              <w:rPr>
                <w:sz w:val="24"/>
                <w:szCs w:val="24"/>
              </w:rPr>
            </w:pPr>
            <w:r w:rsidRPr="00532BA5">
              <w:rPr>
                <w:rFonts w:hint="eastAsia"/>
                <w:sz w:val="24"/>
                <w:szCs w:val="24"/>
              </w:rPr>
              <w:t>1.</w:t>
            </w:r>
            <w:r>
              <w:rPr>
                <w:rFonts w:hint="eastAsia"/>
                <w:sz w:val="24"/>
                <w:szCs w:val="24"/>
              </w:rPr>
              <w:t xml:space="preserve"> </w:t>
            </w:r>
            <w:r w:rsidRPr="00532BA5">
              <w:rPr>
                <w:rFonts w:hint="eastAsia"/>
                <w:sz w:val="24"/>
                <w:szCs w:val="24"/>
              </w:rPr>
              <w:t>矿山救援队员的专业素质直接影响自己和他人的安全健康，符合特种作业定义。</w:t>
            </w:r>
          </w:p>
          <w:p w:rsidR="00532BA5" w:rsidRDefault="00532BA5" w:rsidP="001304CB">
            <w:pPr>
              <w:spacing w:line="320" w:lineRule="exact"/>
              <w:ind w:firstLineChars="0" w:firstLine="0"/>
              <w:jc w:val="left"/>
              <w:rPr>
                <w:sz w:val="24"/>
                <w:szCs w:val="24"/>
              </w:rPr>
            </w:pPr>
            <w:r>
              <w:rPr>
                <w:rFonts w:hint="eastAsia"/>
                <w:sz w:val="24"/>
                <w:szCs w:val="24"/>
              </w:rPr>
              <w:t xml:space="preserve">2. </w:t>
            </w:r>
            <w:r>
              <w:rPr>
                <w:rFonts w:hint="eastAsia"/>
                <w:sz w:val="24"/>
                <w:szCs w:val="24"/>
              </w:rPr>
              <w:t>矿山救援作业专业性强，面临风险大。目前各项法律法规并未对专职矿山救援人员的培训考核、上岗作业、监督管理等作出明确规定。</w:t>
            </w:r>
          </w:p>
          <w:p w:rsidR="00532BA5" w:rsidRPr="00532BA5" w:rsidRDefault="00532BA5" w:rsidP="001304CB">
            <w:pPr>
              <w:spacing w:line="320" w:lineRule="exact"/>
              <w:ind w:firstLineChars="0" w:firstLine="0"/>
              <w:jc w:val="left"/>
              <w:rPr>
                <w:sz w:val="24"/>
                <w:szCs w:val="24"/>
              </w:rPr>
            </w:pPr>
            <w:r>
              <w:rPr>
                <w:rFonts w:hint="eastAsia"/>
                <w:sz w:val="24"/>
                <w:szCs w:val="24"/>
              </w:rPr>
              <w:t xml:space="preserve">3. </w:t>
            </w:r>
            <w:r>
              <w:rPr>
                <w:rFonts w:hint="eastAsia"/>
                <w:sz w:val="24"/>
                <w:szCs w:val="24"/>
              </w:rPr>
              <w:t>矿山救援作业具有独立的岗位设置，符合特种作业有关独立性、危险性和特殊性等要求。</w:t>
            </w:r>
          </w:p>
        </w:tc>
        <w:tc>
          <w:tcPr>
            <w:tcW w:w="1323" w:type="dxa"/>
            <w:vAlign w:val="center"/>
          </w:tcPr>
          <w:p w:rsidR="00FA4FD3" w:rsidRPr="007A2F61" w:rsidRDefault="00FA4FD3" w:rsidP="001304CB">
            <w:pPr>
              <w:ind w:firstLineChars="0" w:firstLine="0"/>
              <w:jc w:val="center"/>
              <w:rPr>
                <w:sz w:val="24"/>
                <w:szCs w:val="24"/>
              </w:rPr>
            </w:pPr>
          </w:p>
        </w:tc>
      </w:tr>
      <w:tr w:rsidR="00FA4FD3" w:rsidRPr="007A2F61" w:rsidTr="001304CB">
        <w:trPr>
          <w:trHeight w:val="978"/>
        </w:trPr>
        <w:tc>
          <w:tcPr>
            <w:tcW w:w="760" w:type="dxa"/>
            <w:vAlign w:val="center"/>
          </w:tcPr>
          <w:p w:rsidR="00FA4FD3" w:rsidRPr="007A2F61" w:rsidRDefault="00FA4FD3" w:rsidP="001304CB">
            <w:pPr>
              <w:ind w:firstLineChars="0" w:firstLine="0"/>
              <w:jc w:val="center"/>
              <w:rPr>
                <w:sz w:val="24"/>
                <w:szCs w:val="24"/>
              </w:rPr>
            </w:pPr>
          </w:p>
        </w:tc>
        <w:tc>
          <w:tcPr>
            <w:tcW w:w="1358" w:type="dxa"/>
            <w:vAlign w:val="center"/>
          </w:tcPr>
          <w:p w:rsidR="00FA4FD3" w:rsidRPr="007A2F61" w:rsidRDefault="00FA4FD3" w:rsidP="001304CB">
            <w:pPr>
              <w:ind w:firstLineChars="0" w:firstLine="0"/>
              <w:jc w:val="center"/>
              <w:rPr>
                <w:sz w:val="24"/>
                <w:szCs w:val="24"/>
              </w:rPr>
            </w:pPr>
          </w:p>
        </w:tc>
        <w:tc>
          <w:tcPr>
            <w:tcW w:w="1883" w:type="dxa"/>
            <w:vAlign w:val="center"/>
          </w:tcPr>
          <w:p w:rsidR="00FA4FD3" w:rsidRPr="007A2F61" w:rsidRDefault="00FA4FD3" w:rsidP="001304CB">
            <w:pPr>
              <w:ind w:firstLineChars="0" w:firstLine="0"/>
              <w:jc w:val="center"/>
              <w:rPr>
                <w:sz w:val="24"/>
                <w:szCs w:val="24"/>
              </w:rPr>
            </w:pPr>
          </w:p>
        </w:tc>
        <w:tc>
          <w:tcPr>
            <w:tcW w:w="4861" w:type="dxa"/>
            <w:vAlign w:val="center"/>
          </w:tcPr>
          <w:p w:rsidR="00FA4FD3" w:rsidRPr="007A2F61" w:rsidRDefault="00FA4FD3" w:rsidP="001304CB">
            <w:pPr>
              <w:ind w:firstLineChars="0" w:firstLine="0"/>
              <w:jc w:val="center"/>
              <w:rPr>
                <w:sz w:val="24"/>
                <w:szCs w:val="24"/>
              </w:rPr>
            </w:pPr>
          </w:p>
        </w:tc>
        <w:tc>
          <w:tcPr>
            <w:tcW w:w="4394" w:type="dxa"/>
            <w:vAlign w:val="center"/>
          </w:tcPr>
          <w:p w:rsidR="00FA4FD3" w:rsidRPr="007A2F61" w:rsidRDefault="00FA4FD3" w:rsidP="001304CB">
            <w:pPr>
              <w:ind w:firstLineChars="0" w:firstLine="0"/>
              <w:jc w:val="center"/>
              <w:rPr>
                <w:sz w:val="24"/>
                <w:szCs w:val="24"/>
              </w:rPr>
            </w:pPr>
          </w:p>
        </w:tc>
        <w:tc>
          <w:tcPr>
            <w:tcW w:w="1323" w:type="dxa"/>
            <w:vAlign w:val="center"/>
          </w:tcPr>
          <w:p w:rsidR="00FA4FD3" w:rsidRPr="007A2F61" w:rsidRDefault="00FA4FD3" w:rsidP="001304CB">
            <w:pPr>
              <w:ind w:firstLineChars="0" w:firstLine="0"/>
              <w:jc w:val="center"/>
              <w:rPr>
                <w:sz w:val="24"/>
                <w:szCs w:val="24"/>
              </w:rPr>
            </w:pPr>
          </w:p>
        </w:tc>
      </w:tr>
      <w:tr w:rsidR="00FA4FD3" w:rsidRPr="007A2F61" w:rsidTr="001304CB">
        <w:trPr>
          <w:trHeight w:val="836"/>
        </w:trPr>
        <w:tc>
          <w:tcPr>
            <w:tcW w:w="760" w:type="dxa"/>
            <w:vAlign w:val="center"/>
          </w:tcPr>
          <w:p w:rsidR="00FA4FD3" w:rsidRPr="007A2F61" w:rsidRDefault="00FA4FD3" w:rsidP="001304CB">
            <w:pPr>
              <w:ind w:firstLineChars="0" w:firstLine="0"/>
              <w:jc w:val="center"/>
              <w:rPr>
                <w:sz w:val="24"/>
                <w:szCs w:val="24"/>
              </w:rPr>
            </w:pPr>
          </w:p>
        </w:tc>
        <w:tc>
          <w:tcPr>
            <w:tcW w:w="1358" w:type="dxa"/>
            <w:vAlign w:val="center"/>
          </w:tcPr>
          <w:p w:rsidR="00FA4FD3" w:rsidRPr="007A2F61" w:rsidRDefault="00FA4FD3" w:rsidP="001304CB">
            <w:pPr>
              <w:ind w:firstLineChars="0" w:firstLine="0"/>
              <w:jc w:val="center"/>
              <w:rPr>
                <w:sz w:val="24"/>
                <w:szCs w:val="24"/>
              </w:rPr>
            </w:pPr>
          </w:p>
        </w:tc>
        <w:tc>
          <w:tcPr>
            <w:tcW w:w="1883" w:type="dxa"/>
            <w:vAlign w:val="center"/>
          </w:tcPr>
          <w:p w:rsidR="00FA4FD3" w:rsidRPr="007A2F61" w:rsidRDefault="00FA4FD3" w:rsidP="001304CB">
            <w:pPr>
              <w:ind w:firstLineChars="0" w:firstLine="0"/>
              <w:jc w:val="center"/>
              <w:rPr>
                <w:sz w:val="24"/>
                <w:szCs w:val="24"/>
              </w:rPr>
            </w:pPr>
          </w:p>
        </w:tc>
        <w:tc>
          <w:tcPr>
            <w:tcW w:w="4861" w:type="dxa"/>
            <w:vAlign w:val="center"/>
          </w:tcPr>
          <w:p w:rsidR="00FA4FD3" w:rsidRPr="007A2F61" w:rsidRDefault="00FA4FD3" w:rsidP="001304CB">
            <w:pPr>
              <w:ind w:firstLineChars="0" w:firstLine="0"/>
              <w:jc w:val="center"/>
              <w:rPr>
                <w:sz w:val="24"/>
                <w:szCs w:val="24"/>
              </w:rPr>
            </w:pPr>
          </w:p>
        </w:tc>
        <w:tc>
          <w:tcPr>
            <w:tcW w:w="4394" w:type="dxa"/>
            <w:vAlign w:val="center"/>
          </w:tcPr>
          <w:p w:rsidR="00FA4FD3" w:rsidRPr="007A2F61" w:rsidRDefault="00FA4FD3" w:rsidP="001304CB">
            <w:pPr>
              <w:ind w:leftChars="-15" w:left="-48" w:firstLineChars="15" w:firstLine="36"/>
              <w:jc w:val="center"/>
              <w:rPr>
                <w:sz w:val="24"/>
                <w:szCs w:val="24"/>
              </w:rPr>
            </w:pPr>
          </w:p>
        </w:tc>
        <w:tc>
          <w:tcPr>
            <w:tcW w:w="1323" w:type="dxa"/>
            <w:vAlign w:val="center"/>
          </w:tcPr>
          <w:p w:rsidR="00FA4FD3" w:rsidRPr="007A2F61" w:rsidRDefault="00FA4FD3" w:rsidP="001304CB">
            <w:pPr>
              <w:ind w:firstLineChars="0" w:firstLine="0"/>
              <w:jc w:val="center"/>
              <w:rPr>
                <w:sz w:val="24"/>
                <w:szCs w:val="24"/>
              </w:rPr>
            </w:pPr>
          </w:p>
        </w:tc>
      </w:tr>
    </w:tbl>
    <w:p w:rsidR="00C930C9" w:rsidRDefault="00A35A7A" w:rsidP="001304CB">
      <w:pPr>
        <w:spacing w:line="400" w:lineRule="exact"/>
        <w:ind w:firstLineChars="0" w:firstLine="0"/>
        <w:rPr>
          <w:sz w:val="24"/>
          <w:szCs w:val="24"/>
        </w:rPr>
      </w:pPr>
      <w:r w:rsidRPr="00A35A7A">
        <w:rPr>
          <w:rFonts w:hint="eastAsia"/>
          <w:sz w:val="24"/>
          <w:szCs w:val="24"/>
        </w:rPr>
        <w:t>备注</w:t>
      </w:r>
      <w:r w:rsidRPr="00A35A7A">
        <w:rPr>
          <w:rFonts w:hint="eastAsia"/>
          <w:sz w:val="24"/>
          <w:szCs w:val="24"/>
        </w:rPr>
        <w:t>:</w:t>
      </w:r>
      <w:r>
        <w:rPr>
          <w:rFonts w:hint="eastAsia"/>
          <w:sz w:val="24"/>
          <w:szCs w:val="24"/>
        </w:rPr>
        <w:t xml:space="preserve">  </w:t>
      </w:r>
      <w:r w:rsidRPr="00A35A7A">
        <w:rPr>
          <w:rFonts w:hint="eastAsia"/>
          <w:sz w:val="24"/>
          <w:szCs w:val="24"/>
        </w:rPr>
        <w:t xml:space="preserve">1. </w:t>
      </w:r>
      <w:r w:rsidRPr="00A35A7A">
        <w:rPr>
          <w:rFonts w:hint="eastAsia"/>
          <w:sz w:val="24"/>
          <w:szCs w:val="24"/>
        </w:rPr>
        <w:t>增加</w:t>
      </w:r>
      <w:r w:rsidRPr="00A35A7A">
        <w:rPr>
          <w:rFonts w:hint="eastAsia"/>
          <w:sz w:val="24"/>
          <w:szCs w:val="24"/>
        </w:rPr>
        <w:t>:</w:t>
      </w:r>
      <w:r w:rsidRPr="00A35A7A">
        <w:rPr>
          <w:rFonts w:hint="eastAsia"/>
          <w:sz w:val="24"/>
          <w:szCs w:val="24"/>
        </w:rPr>
        <w:t>应写明作业类别和操作项目名称、定义、适用范围，并说明增加该项目的必要性和可行性。</w:t>
      </w:r>
    </w:p>
    <w:p w:rsidR="00A35A7A" w:rsidRDefault="00A35A7A" w:rsidP="001304CB">
      <w:pPr>
        <w:spacing w:line="400" w:lineRule="exact"/>
        <w:ind w:firstLineChars="350" w:firstLine="843"/>
        <w:rPr>
          <w:sz w:val="24"/>
          <w:szCs w:val="24"/>
        </w:rPr>
      </w:pPr>
      <w:r>
        <w:rPr>
          <w:rFonts w:hint="eastAsia"/>
          <w:sz w:val="24"/>
          <w:szCs w:val="24"/>
        </w:rPr>
        <w:t>2.</w:t>
      </w:r>
      <w:r>
        <w:rPr>
          <w:rFonts w:hint="eastAsia"/>
          <w:sz w:val="24"/>
          <w:szCs w:val="24"/>
        </w:rPr>
        <w:t>修改：应提出具体修订意见，并说明理由；</w:t>
      </w:r>
    </w:p>
    <w:p w:rsidR="00A35A7A" w:rsidRPr="00A35A7A" w:rsidRDefault="00A35A7A" w:rsidP="001304CB">
      <w:pPr>
        <w:spacing w:line="400" w:lineRule="exact"/>
        <w:ind w:firstLineChars="350" w:firstLine="843"/>
        <w:rPr>
          <w:sz w:val="24"/>
          <w:szCs w:val="24"/>
        </w:rPr>
      </w:pPr>
      <w:r>
        <w:rPr>
          <w:rFonts w:hint="eastAsia"/>
          <w:sz w:val="24"/>
          <w:szCs w:val="24"/>
        </w:rPr>
        <w:t>3.</w:t>
      </w:r>
      <w:r>
        <w:rPr>
          <w:rFonts w:hint="eastAsia"/>
          <w:sz w:val="24"/>
          <w:szCs w:val="24"/>
        </w:rPr>
        <w:t>删除：应说明不作为特种作业管理的理由。</w:t>
      </w:r>
    </w:p>
    <w:sectPr w:rsidR="00A35A7A" w:rsidRPr="00A35A7A" w:rsidSect="001304CB">
      <w:pgSz w:w="16838" w:h="11906" w:orient="landscape"/>
      <w:pgMar w:top="1797" w:right="1440" w:bottom="1797" w:left="1440" w:header="851" w:footer="992" w:gutter="0"/>
      <w:cols w:space="425"/>
      <w:docGrid w:type="lines" w:linePitch="437"/>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4199" w:rsidRDefault="007C4199" w:rsidP="00B02F5A">
      <w:pPr>
        <w:spacing w:line="240" w:lineRule="auto"/>
        <w:ind w:firstLine="643"/>
      </w:pPr>
      <w:r>
        <w:separator/>
      </w:r>
    </w:p>
  </w:endnote>
  <w:endnote w:type="continuationSeparator" w:id="1">
    <w:p w:rsidR="007C4199" w:rsidRDefault="007C4199" w:rsidP="00B02F5A">
      <w:pPr>
        <w:spacing w:line="240" w:lineRule="auto"/>
        <w:ind w:firstLine="643"/>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仿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F5A" w:rsidRDefault="00B02F5A" w:rsidP="00B02F5A">
    <w:pPr>
      <w:pStyle w:val="a8"/>
      <w:ind w:firstLine="36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F5A" w:rsidRDefault="00B02F5A" w:rsidP="00B02F5A">
    <w:pPr>
      <w:pStyle w:val="a8"/>
      <w:ind w:firstLine="36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F5A" w:rsidRDefault="00B02F5A" w:rsidP="00B02F5A">
    <w:pPr>
      <w:pStyle w:val="a8"/>
      <w:ind w:firstLine="36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4199" w:rsidRDefault="007C4199" w:rsidP="00B02F5A">
      <w:pPr>
        <w:spacing w:line="240" w:lineRule="auto"/>
        <w:ind w:firstLine="643"/>
      </w:pPr>
      <w:r>
        <w:separator/>
      </w:r>
    </w:p>
  </w:footnote>
  <w:footnote w:type="continuationSeparator" w:id="1">
    <w:p w:rsidR="007C4199" w:rsidRDefault="007C4199" w:rsidP="00B02F5A">
      <w:pPr>
        <w:spacing w:line="240" w:lineRule="auto"/>
        <w:ind w:firstLine="643"/>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F5A" w:rsidRDefault="00B02F5A" w:rsidP="001304CB">
    <w:pPr>
      <w:pStyle w:val="a7"/>
      <w:pBdr>
        <w:bottom w:val="none" w:sz="0" w:space="0" w:color="auto"/>
      </w:pBdr>
      <w:ind w:firstLine="36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F5A" w:rsidRDefault="00B02F5A" w:rsidP="001304CB">
    <w:pPr>
      <w:pStyle w:val="a7"/>
      <w:pBdr>
        <w:bottom w:val="none" w:sz="0" w:space="0" w:color="auto"/>
      </w:pBdr>
      <w:ind w:firstLine="36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F5A" w:rsidRDefault="00B02F5A" w:rsidP="00B02F5A">
    <w:pPr>
      <w:pStyle w:val="a7"/>
      <w:ind w:firstLine="36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0A5CB2"/>
    <w:multiLevelType w:val="hybridMultilevel"/>
    <w:tmpl w:val="27D0C978"/>
    <w:lvl w:ilvl="0" w:tplc="15A6E1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BE66E44"/>
    <w:multiLevelType w:val="hybridMultilevel"/>
    <w:tmpl w:val="0D7C8E60"/>
    <w:lvl w:ilvl="0" w:tplc="EEE692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321"/>
  <w:drawingGridVerticalSpacing w:val="437"/>
  <w:displayHorizontalDrawingGridEvery w:val="0"/>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30C9"/>
    <w:rsid w:val="00070E65"/>
    <w:rsid w:val="001304CB"/>
    <w:rsid w:val="002A794E"/>
    <w:rsid w:val="00306F4A"/>
    <w:rsid w:val="00446B30"/>
    <w:rsid w:val="005268AE"/>
    <w:rsid w:val="00532BA5"/>
    <w:rsid w:val="00541539"/>
    <w:rsid w:val="005F269E"/>
    <w:rsid w:val="00721CA2"/>
    <w:rsid w:val="007349AD"/>
    <w:rsid w:val="007926C3"/>
    <w:rsid w:val="007A2F61"/>
    <w:rsid w:val="007C4199"/>
    <w:rsid w:val="00822874"/>
    <w:rsid w:val="00881322"/>
    <w:rsid w:val="008A22D6"/>
    <w:rsid w:val="008E0604"/>
    <w:rsid w:val="00A35A7A"/>
    <w:rsid w:val="00A85CE2"/>
    <w:rsid w:val="00B02F5A"/>
    <w:rsid w:val="00BC67A7"/>
    <w:rsid w:val="00C930C9"/>
    <w:rsid w:val="00DC7FBD"/>
    <w:rsid w:val="00FA4FD3"/>
    <w:rsid w:val="00FB48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方正仿宋简体" w:hAnsiTheme="minorHAnsi" w:cstheme="minorBidi"/>
        <w:b/>
        <w:kern w:val="2"/>
        <w:sz w:val="32"/>
        <w:szCs w:val="22"/>
        <w:lang w:val="en-US" w:eastAsia="zh-CN" w:bidi="ar-SA"/>
      </w:rPr>
    </w:rPrDefault>
    <w:pPrDefault>
      <w:pPr>
        <w:spacing w:line="560"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69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4FD3"/>
    <w:rPr>
      <w:color w:val="0000FF" w:themeColor="hyperlink"/>
      <w:u w:val="single"/>
    </w:rPr>
  </w:style>
  <w:style w:type="paragraph" w:styleId="a4">
    <w:name w:val="Date"/>
    <w:basedOn w:val="a"/>
    <w:next w:val="a"/>
    <w:link w:val="Char"/>
    <w:uiPriority w:val="99"/>
    <w:semiHidden/>
    <w:unhideWhenUsed/>
    <w:rsid w:val="00FA4FD3"/>
    <w:pPr>
      <w:ind w:leftChars="2500" w:left="100"/>
    </w:pPr>
  </w:style>
  <w:style w:type="character" w:customStyle="1" w:styleId="Char">
    <w:name w:val="日期 Char"/>
    <w:basedOn w:val="a0"/>
    <w:link w:val="a4"/>
    <w:uiPriority w:val="99"/>
    <w:semiHidden/>
    <w:rsid w:val="00FA4FD3"/>
  </w:style>
  <w:style w:type="table" w:styleId="a5">
    <w:name w:val="Table Grid"/>
    <w:basedOn w:val="a1"/>
    <w:uiPriority w:val="59"/>
    <w:rsid w:val="00FA4FD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32BA5"/>
    <w:pPr>
      <w:ind w:firstLine="420"/>
    </w:pPr>
  </w:style>
  <w:style w:type="paragraph" w:styleId="a7">
    <w:name w:val="header"/>
    <w:basedOn w:val="a"/>
    <w:link w:val="Char0"/>
    <w:uiPriority w:val="99"/>
    <w:semiHidden/>
    <w:unhideWhenUsed/>
    <w:rsid w:val="00B02F5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7"/>
    <w:uiPriority w:val="99"/>
    <w:semiHidden/>
    <w:rsid w:val="00B02F5A"/>
    <w:rPr>
      <w:sz w:val="18"/>
      <w:szCs w:val="18"/>
    </w:rPr>
  </w:style>
  <w:style w:type="paragraph" w:styleId="a8">
    <w:name w:val="footer"/>
    <w:basedOn w:val="a"/>
    <w:link w:val="Char1"/>
    <w:uiPriority w:val="99"/>
    <w:semiHidden/>
    <w:unhideWhenUsed/>
    <w:rsid w:val="00B02F5A"/>
    <w:pPr>
      <w:tabs>
        <w:tab w:val="center" w:pos="4153"/>
        <w:tab w:val="right" w:pos="8306"/>
      </w:tabs>
      <w:snapToGrid w:val="0"/>
      <w:spacing w:line="240" w:lineRule="atLeast"/>
      <w:jc w:val="left"/>
    </w:pPr>
    <w:rPr>
      <w:sz w:val="18"/>
      <w:szCs w:val="18"/>
    </w:rPr>
  </w:style>
  <w:style w:type="character" w:customStyle="1" w:styleId="Char1">
    <w:name w:val="页脚 Char"/>
    <w:basedOn w:val="a0"/>
    <w:link w:val="a8"/>
    <w:uiPriority w:val="99"/>
    <w:semiHidden/>
    <w:rsid w:val="00B02F5A"/>
    <w:rPr>
      <w:sz w:val="18"/>
      <w:szCs w:val="18"/>
    </w:rPr>
  </w:style>
  <w:style w:type="paragraph" w:styleId="a9">
    <w:name w:val="Body Text"/>
    <w:basedOn w:val="a"/>
    <w:link w:val="Char2"/>
    <w:rsid w:val="00070E65"/>
    <w:pPr>
      <w:spacing w:after="120" w:line="240" w:lineRule="auto"/>
      <w:ind w:firstLineChars="0" w:firstLine="0"/>
    </w:pPr>
    <w:rPr>
      <w:rFonts w:ascii="Times New Roman" w:eastAsia="宋体" w:hAnsi="Times New Roman" w:cs="Times New Roman"/>
      <w:b w:val="0"/>
      <w:sz w:val="21"/>
      <w:szCs w:val="24"/>
    </w:rPr>
  </w:style>
  <w:style w:type="character" w:customStyle="1" w:styleId="Char2">
    <w:name w:val="正文文本 Char"/>
    <w:basedOn w:val="a0"/>
    <w:link w:val="a9"/>
    <w:rsid w:val="00070E65"/>
    <w:rPr>
      <w:rFonts w:ascii="Times New Roman" w:eastAsia="宋体" w:hAnsi="Times New Roman" w:cs="Times New Roman"/>
      <w:b w:val="0"/>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nsajjfwzx@ji.shandong.c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228</Words>
  <Characters>1303</Characters>
  <Application>Microsoft Office Word</Application>
  <DocSecurity>0</DocSecurity>
  <Lines>10</Lines>
  <Paragraphs>3</Paragraphs>
  <ScaleCrop>false</ScaleCrop>
  <Company>china</Company>
  <LinksUpToDate>false</LinksUpToDate>
  <CharactersWithSpaces>1528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2019-01-23T09:01:00Z</dcterms:created>
  <dcterms:modified xsi:type="dcterms:W3CDTF">2019-01-23T09:01:00Z</dcterms:modified>
</cp:coreProperties>
</file>