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before="0" w:after="60"/>
        <w:jc w:val="both"/>
        <w:rPr>
          <w:color w:val="auto"/>
          <w:sz w:val="32"/>
          <w:szCs w:val="32"/>
          <w:highlight w:val="none"/>
        </w:rPr>
      </w:pPr>
    </w:p>
    <w:p>
      <w:pPr>
        <w:rPr>
          <w:color w:val="auto"/>
          <w:sz w:val="32"/>
          <w:szCs w:val="32"/>
          <w:highlight w:val="none"/>
        </w:rPr>
      </w:pPr>
    </w:p>
    <w:p>
      <w:pPr>
        <w:pStyle w:val="27"/>
        <w:spacing w:before="0" w:after="60"/>
        <w:jc w:val="both"/>
        <w:rPr>
          <w:color w:val="auto"/>
          <w:sz w:val="32"/>
          <w:szCs w:val="32"/>
          <w:highlight w:val="none"/>
        </w:rPr>
      </w:pPr>
    </w:p>
    <w:p>
      <w:pPr>
        <w:pStyle w:val="27"/>
        <w:spacing w:before="0" w:after="60"/>
        <w:jc w:val="both"/>
        <w:rPr>
          <w:color w:val="auto"/>
          <w:sz w:val="32"/>
          <w:szCs w:val="32"/>
          <w:highlight w:val="none"/>
        </w:rPr>
      </w:pPr>
    </w:p>
    <w:p>
      <w:pPr>
        <w:pStyle w:val="27"/>
        <w:spacing w:before="0" w:after="60"/>
        <w:jc w:val="both"/>
        <w:rPr>
          <w:color w:val="auto"/>
          <w:sz w:val="32"/>
          <w:szCs w:val="32"/>
          <w:highlight w:val="none"/>
        </w:rPr>
      </w:pPr>
    </w:p>
    <w:p>
      <w:pPr>
        <w:pStyle w:val="27"/>
        <w:spacing w:before="0" w:after="60"/>
        <w:jc w:val="both"/>
        <w:rPr>
          <w:b/>
          <w:bCs/>
          <w:color w:val="auto"/>
          <w:sz w:val="32"/>
          <w:szCs w:val="32"/>
          <w:highlight w:val="none"/>
        </w:rPr>
      </w:pPr>
    </w:p>
    <w:p>
      <w:pPr>
        <w:pStyle w:val="27"/>
        <w:spacing w:before="0" w:after="6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济宁市“十五五”应急管理体系建设规划</w:t>
      </w:r>
    </w:p>
    <w:p>
      <w:pPr>
        <w:pStyle w:val="27"/>
        <w:spacing w:before="0" w:after="60"/>
        <w:rPr>
          <w:rFonts w:hint="eastAsia" w:ascii="方正小标宋简体" w:hAnsi="方正小标宋简体" w:eastAsia="方正小标宋简体" w:cs="方正小标宋简体"/>
          <w:color w:val="auto"/>
          <w:sz w:val="44"/>
          <w:szCs w:val="44"/>
          <w:highlight w:val="none"/>
        </w:rPr>
      </w:pPr>
      <w:bookmarkStart w:id="144" w:name="_GoBack"/>
      <w:bookmarkEnd w:id="144"/>
      <w:r>
        <w:rPr>
          <w:rFonts w:hint="eastAsia" w:ascii="方正小标宋简体" w:hAnsi="方正小标宋简体" w:eastAsia="方正小标宋简体" w:cs="方正小标宋简体"/>
          <w:color w:val="auto"/>
          <w:sz w:val="44"/>
          <w:szCs w:val="44"/>
          <w:highlight w:val="none"/>
        </w:rPr>
        <w:t>（</w:t>
      </w:r>
      <w:r>
        <w:rPr>
          <w:rFonts w:hint="default" w:ascii="方正小标宋简体" w:hAnsi="方正小标宋简体" w:eastAsia="方正小标宋简体" w:cs="方正小标宋简体"/>
          <w:color w:val="auto"/>
          <w:sz w:val="44"/>
          <w:szCs w:val="44"/>
          <w:highlight w:val="none"/>
        </w:rPr>
        <w:t>征求意见</w:t>
      </w:r>
      <w:r>
        <w:rPr>
          <w:rFonts w:hint="eastAsia" w:ascii="方正小标宋简体" w:hAnsi="方正小标宋简体" w:eastAsia="方正小标宋简体" w:cs="方正小标宋简体"/>
          <w:color w:val="auto"/>
          <w:sz w:val="44"/>
          <w:szCs w:val="44"/>
          <w:highlight w:val="none"/>
        </w:rPr>
        <w:t>稿）</w:t>
      </w:r>
    </w:p>
    <w:p>
      <w:pPr>
        <w:pStyle w:val="13"/>
        <w:spacing w:before="0" w:after="0" w:line="560" w:lineRule="exact"/>
        <w:ind w:firstLine="482" w:firstLineChars="0"/>
        <w:rPr>
          <w:rFonts w:hint="eastAsia" w:ascii="微软雅黑" w:hAnsi="微软雅黑" w:eastAsia="微软雅黑" w:cs="微软雅黑"/>
          <w:color w:val="auto"/>
          <w:sz w:val="32"/>
          <w:szCs w:val="32"/>
          <w:highlight w:val="none"/>
        </w:rPr>
      </w:pPr>
    </w:p>
    <w:p>
      <w:pPr>
        <w:pStyle w:val="13"/>
        <w:spacing w:before="0" w:after="0" w:line="360" w:lineRule="auto"/>
        <w:ind w:firstLine="482" w:firstLineChars="0"/>
        <w:rPr>
          <w:rFonts w:eastAsia="仿宋"/>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pStyle w:val="13"/>
        <w:spacing w:before="0" w:after="0" w:line="360" w:lineRule="auto"/>
        <w:ind w:firstLine="0" w:firstLineChars="0"/>
        <w:rPr>
          <w:rFonts w:eastAsia="仿宋"/>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0" w:firstLineChars="0"/>
        <w:rPr>
          <w:rFonts w:eastAsia="仿宋" w:cs="Times New Roman"/>
          <w:color w:val="auto"/>
          <w:sz w:val="32"/>
          <w:szCs w:val="32"/>
          <w:highlight w:val="none"/>
        </w:rPr>
      </w:pPr>
    </w:p>
    <w:p>
      <w:pPr>
        <w:widowControl/>
        <w:spacing w:line="240" w:lineRule="auto"/>
        <w:ind w:firstLine="3200" w:firstLineChars="1000"/>
        <w:rPr>
          <w:rFonts w:eastAsia="仿宋" w:cs="Times New Roman"/>
          <w:color w:val="auto"/>
          <w:sz w:val="32"/>
          <w:szCs w:val="32"/>
          <w:highlight w:val="none"/>
        </w:rPr>
      </w:pPr>
      <w:r>
        <w:rPr>
          <w:rFonts w:hint="eastAsia" w:eastAsia="仿宋" w:cs="Times New Roman"/>
          <w:color w:val="auto"/>
          <w:sz w:val="32"/>
          <w:szCs w:val="32"/>
          <w:highlight w:val="none"/>
        </w:rPr>
        <w:t>2026年</w:t>
      </w:r>
      <w:r>
        <w:rPr>
          <w:rFonts w:hint="eastAsia" w:eastAsia="仿宋" w:cs="Times New Roman"/>
          <w:color w:val="auto"/>
          <w:sz w:val="32"/>
          <w:szCs w:val="32"/>
          <w:highlight w:val="none"/>
          <w:lang w:val="en-US" w:eastAsia="zh-CN"/>
        </w:rPr>
        <w:t>5</w:t>
      </w:r>
      <w:r>
        <w:rPr>
          <w:rFonts w:hint="eastAsia" w:eastAsia="仿宋" w:cs="Times New Roman"/>
          <w:color w:val="auto"/>
          <w:sz w:val="32"/>
          <w:szCs w:val="32"/>
          <w:highlight w:val="none"/>
        </w:rPr>
        <w:t>月</w:t>
      </w:r>
      <w:r>
        <w:rPr>
          <w:rFonts w:hint="eastAsia" w:eastAsia="仿宋" w:cs="Times New Roman"/>
          <w:color w:val="auto"/>
          <w:sz w:val="32"/>
          <w:szCs w:val="32"/>
          <w:highlight w:val="none"/>
          <w:lang w:val="en-US" w:eastAsia="zh-CN"/>
        </w:rPr>
        <w:t>20</w:t>
      </w:r>
      <w:r>
        <w:rPr>
          <w:rFonts w:hint="eastAsia" w:eastAsia="仿宋" w:cs="Times New Roman"/>
          <w:color w:val="auto"/>
          <w:sz w:val="32"/>
          <w:szCs w:val="32"/>
          <w:highlight w:val="none"/>
        </w:rPr>
        <w:t>日</w:t>
      </w:r>
    </w:p>
    <w:p>
      <w:pPr>
        <w:widowControl/>
        <w:spacing w:line="240" w:lineRule="auto"/>
        <w:ind w:firstLine="0" w:firstLineChars="0"/>
        <w:rPr>
          <w:rFonts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10" w:h="16840"/>
          <w:pgMar w:top="1814" w:right="1588" w:bottom="1191" w:left="1588" w:header="720" w:footer="720" w:gutter="0"/>
          <w:cols w:space="425" w:num="1"/>
          <w:docGrid w:linePitch="299" w:charSpace="0"/>
        </w:sectPr>
      </w:pPr>
    </w:p>
    <w:p>
      <w:pPr>
        <w:pStyle w:val="19"/>
        <w:rPr>
          <w:rFonts w:hint="eastAsia"/>
          <w:color w:val="auto"/>
          <w:sz w:val="32"/>
          <w:szCs w:val="32"/>
          <w:highlight w:val="none"/>
        </w:rPr>
      </w:pPr>
      <w:r>
        <w:rPr>
          <w:rFonts w:hint="eastAsia"/>
          <w:color w:val="auto"/>
          <w:sz w:val="32"/>
          <w:szCs w:val="32"/>
          <w:highlight w:val="none"/>
        </w:rPr>
        <w:t>目  录</w:t>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 w:val="32"/>
          <w:szCs w:val="32"/>
          <w:highlight w:val="none"/>
        </w:rPr>
        <w:fldChar w:fldCharType="begin"/>
      </w:r>
      <w:r>
        <w:rPr>
          <w:color w:val="auto"/>
          <w:sz w:val="32"/>
          <w:szCs w:val="32"/>
          <w:highlight w:val="none"/>
        </w:rPr>
        <w:instrText xml:space="preserve">TOC \o "1-3" \h \u </w:instrText>
      </w:r>
      <w:r>
        <w:rPr>
          <w:color w:val="auto"/>
          <w:sz w:val="32"/>
          <w:szCs w:val="32"/>
          <w:highlight w:val="none"/>
        </w:rPr>
        <w:fldChar w:fldCharType="separate"/>
      </w:r>
      <w:r>
        <w:rPr>
          <w:color w:val="auto"/>
          <w:szCs w:val="32"/>
          <w:highlight w:val="none"/>
        </w:rPr>
        <w:fldChar w:fldCharType="begin"/>
      </w:r>
      <w:r>
        <w:rPr>
          <w:color w:val="auto"/>
          <w:szCs w:val="32"/>
          <w:highlight w:val="none"/>
        </w:rPr>
        <w:instrText xml:space="preserve"> HYPERLINK \l _Toc23640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第一章  “十四五”规划工作成效</w:t>
      </w:r>
      <w:r>
        <w:rPr>
          <w:color w:val="auto"/>
          <w:highlight w:val="none"/>
        </w:rPr>
        <w:tab/>
      </w:r>
      <w:r>
        <w:rPr>
          <w:color w:val="auto"/>
          <w:highlight w:val="none"/>
        </w:rPr>
        <w:fldChar w:fldCharType="begin"/>
      </w:r>
      <w:r>
        <w:rPr>
          <w:color w:val="auto"/>
          <w:highlight w:val="none"/>
        </w:rPr>
        <w:instrText xml:space="preserve"> PAGEREF _Toc23640 \h </w:instrText>
      </w:r>
      <w:r>
        <w:rPr>
          <w:color w:val="auto"/>
          <w:highlight w:val="none"/>
        </w:rPr>
        <w:fldChar w:fldCharType="separate"/>
      </w:r>
      <w:r>
        <w:rPr>
          <w:color w:val="auto"/>
          <w:highlight w:val="none"/>
        </w:rPr>
        <w:t>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_Toc1546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（一）应急管理制度建设成效显著</w:t>
      </w:r>
      <w:r>
        <w:rPr>
          <w:color w:val="auto"/>
          <w:highlight w:val="none"/>
        </w:rPr>
        <w:tab/>
      </w:r>
      <w:r>
        <w:rPr>
          <w:color w:val="auto"/>
          <w:highlight w:val="none"/>
        </w:rPr>
        <w:fldChar w:fldCharType="begin"/>
      </w:r>
      <w:r>
        <w:rPr>
          <w:color w:val="auto"/>
          <w:highlight w:val="none"/>
        </w:rPr>
        <w:instrText xml:space="preserve"> PAGEREF _Toc1546 \h </w:instrText>
      </w:r>
      <w:r>
        <w:rPr>
          <w:color w:val="auto"/>
          <w:highlight w:val="none"/>
        </w:rPr>
        <w:fldChar w:fldCharType="separate"/>
      </w:r>
      <w:r>
        <w:rPr>
          <w:color w:val="auto"/>
          <w:highlight w:val="none"/>
        </w:rPr>
        <w:t>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_Toc10856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（二）安全生产风险形势持续向好</w:t>
      </w:r>
      <w:r>
        <w:rPr>
          <w:color w:val="auto"/>
          <w:highlight w:val="none"/>
        </w:rPr>
        <w:tab/>
      </w:r>
      <w:r>
        <w:rPr>
          <w:color w:val="auto"/>
          <w:highlight w:val="none"/>
        </w:rPr>
        <w:fldChar w:fldCharType="begin"/>
      </w:r>
      <w:r>
        <w:rPr>
          <w:color w:val="auto"/>
          <w:highlight w:val="none"/>
        </w:rPr>
        <w:instrText xml:space="preserve"> PAGEREF _Toc10856 \h </w:instrText>
      </w:r>
      <w:r>
        <w:rPr>
          <w:color w:val="auto"/>
          <w:highlight w:val="none"/>
        </w:rPr>
        <w:fldChar w:fldCharType="separate"/>
      </w:r>
      <w:r>
        <w:rPr>
          <w:color w:val="auto"/>
          <w:highlight w:val="none"/>
        </w:rPr>
        <w:t>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_Toc18526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（三）防灾减灾救灾能力明显增强</w:t>
      </w:r>
      <w:r>
        <w:rPr>
          <w:color w:val="auto"/>
          <w:highlight w:val="none"/>
        </w:rPr>
        <w:tab/>
      </w:r>
      <w:r>
        <w:rPr>
          <w:color w:val="auto"/>
          <w:highlight w:val="none"/>
        </w:rPr>
        <w:fldChar w:fldCharType="begin"/>
      </w:r>
      <w:r>
        <w:rPr>
          <w:color w:val="auto"/>
          <w:highlight w:val="none"/>
        </w:rPr>
        <w:instrText xml:space="preserve"> PAGEREF _Toc18526 \h </w:instrText>
      </w:r>
      <w:r>
        <w:rPr>
          <w:color w:val="auto"/>
          <w:highlight w:val="none"/>
        </w:rPr>
        <w:fldChar w:fldCharType="separate"/>
      </w:r>
      <w:r>
        <w:rPr>
          <w:color w:val="auto"/>
          <w:highlight w:val="none"/>
        </w:rPr>
        <w:t>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_Toc16123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（四）应急救援综合水平全面提升</w:t>
      </w:r>
      <w:r>
        <w:rPr>
          <w:color w:val="auto"/>
          <w:highlight w:val="none"/>
        </w:rPr>
        <w:tab/>
      </w:r>
      <w:r>
        <w:rPr>
          <w:color w:val="auto"/>
          <w:highlight w:val="none"/>
        </w:rPr>
        <w:fldChar w:fldCharType="begin"/>
      </w:r>
      <w:r>
        <w:rPr>
          <w:color w:val="auto"/>
          <w:highlight w:val="none"/>
        </w:rPr>
        <w:instrText xml:space="preserve"> PAGEREF _Toc16123 \h </w:instrText>
      </w:r>
      <w:r>
        <w:rPr>
          <w:color w:val="auto"/>
          <w:highlight w:val="none"/>
        </w:rPr>
        <w:fldChar w:fldCharType="separate"/>
      </w:r>
      <w:r>
        <w:rPr>
          <w:color w:val="auto"/>
          <w:highlight w:val="none"/>
        </w:rPr>
        <w:t>10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_Toc21658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（五）社会共治机制格局更加巩固</w:t>
      </w:r>
      <w:r>
        <w:rPr>
          <w:color w:val="auto"/>
          <w:highlight w:val="none"/>
        </w:rPr>
        <w:tab/>
      </w:r>
      <w:r>
        <w:rPr>
          <w:color w:val="auto"/>
          <w:highlight w:val="none"/>
        </w:rPr>
        <w:fldChar w:fldCharType="begin"/>
      </w:r>
      <w:r>
        <w:rPr>
          <w:color w:val="auto"/>
          <w:highlight w:val="none"/>
        </w:rPr>
        <w:instrText xml:space="preserve"> PAGEREF _Toc21658 \h </w:instrText>
      </w:r>
      <w:r>
        <w:rPr>
          <w:color w:val="auto"/>
          <w:highlight w:val="none"/>
        </w:rPr>
        <w:fldChar w:fldCharType="separate"/>
      </w:r>
      <w:r>
        <w:rPr>
          <w:color w:val="auto"/>
          <w:highlight w:val="none"/>
        </w:rPr>
        <w:t>10</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_Toc9866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第二章  “十五五”时期面临的主要问题</w:t>
      </w:r>
      <w:r>
        <w:rPr>
          <w:color w:val="auto"/>
          <w:highlight w:val="none"/>
        </w:rPr>
        <w:tab/>
      </w:r>
      <w:r>
        <w:rPr>
          <w:color w:val="auto"/>
          <w:highlight w:val="none"/>
        </w:rPr>
        <w:fldChar w:fldCharType="begin"/>
      </w:r>
      <w:r>
        <w:rPr>
          <w:color w:val="auto"/>
          <w:highlight w:val="none"/>
        </w:rPr>
        <w:instrText xml:space="preserve"> PAGEREF _Toc9866 \h </w:instrText>
      </w:r>
      <w:r>
        <w:rPr>
          <w:color w:val="auto"/>
          <w:highlight w:val="none"/>
        </w:rPr>
        <w:fldChar w:fldCharType="separate"/>
      </w:r>
      <w:r>
        <w:rPr>
          <w:color w:val="auto"/>
          <w:highlight w:val="none"/>
        </w:rPr>
        <w:t>11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_Toc15040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（一）应急管理基础能力存在明显短板</w:t>
      </w:r>
      <w:r>
        <w:rPr>
          <w:color w:val="auto"/>
          <w:highlight w:val="none"/>
        </w:rPr>
        <w:tab/>
      </w:r>
      <w:r>
        <w:rPr>
          <w:color w:val="auto"/>
          <w:highlight w:val="none"/>
        </w:rPr>
        <w:fldChar w:fldCharType="begin"/>
      </w:r>
      <w:r>
        <w:rPr>
          <w:color w:val="auto"/>
          <w:highlight w:val="none"/>
        </w:rPr>
        <w:instrText xml:space="preserve"> PAGEREF _Toc15040 \h </w:instrText>
      </w:r>
      <w:r>
        <w:rPr>
          <w:color w:val="auto"/>
          <w:highlight w:val="none"/>
        </w:rPr>
        <w:fldChar w:fldCharType="separate"/>
      </w:r>
      <w:r>
        <w:rPr>
          <w:color w:val="auto"/>
          <w:highlight w:val="none"/>
        </w:rPr>
        <w:t>11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_Toc22715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（二）安全生产风险形势依然严峻复杂</w:t>
      </w:r>
      <w:r>
        <w:rPr>
          <w:color w:val="auto"/>
          <w:highlight w:val="none"/>
        </w:rPr>
        <w:tab/>
      </w:r>
      <w:r>
        <w:rPr>
          <w:color w:val="auto"/>
          <w:highlight w:val="none"/>
        </w:rPr>
        <w:fldChar w:fldCharType="begin"/>
      </w:r>
      <w:r>
        <w:rPr>
          <w:color w:val="auto"/>
          <w:highlight w:val="none"/>
        </w:rPr>
        <w:instrText xml:space="preserve"> PAGEREF _Toc22715 \h </w:instrText>
      </w:r>
      <w:r>
        <w:rPr>
          <w:color w:val="auto"/>
          <w:highlight w:val="none"/>
        </w:rPr>
        <w:fldChar w:fldCharType="separate"/>
      </w:r>
      <w:r>
        <w:rPr>
          <w:color w:val="auto"/>
          <w:highlight w:val="none"/>
        </w:rPr>
        <w:t>12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_Toc17638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（三）自然灾害防御体系面临严峻挑战</w:t>
      </w:r>
      <w:r>
        <w:rPr>
          <w:color w:val="auto"/>
          <w:highlight w:val="none"/>
        </w:rPr>
        <w:tab/>
      </w:r>
      <w:r>
        <w:rPr>
          <w:color w:val="auto"/>
          <w:highlight w:val="none"/>
        </w:rPr>
        <w:fldChar w:fldCharType="begin"/>
      </w:r>
      <w:r>
        <w:rPr>
          <w:color w:val="auto"/>
          <w:highlight w:val="none"/>
        </w:rPr>
        <w:instrText xml:space="preserve"> PAGEREF _Toc17638 \h </w:instrText>
      </w:r>
      <w:r>
        <w:rPr>
          <w:color w:val="auto"/>
          <w:highlight w:val="none"/>
        </w:rPr>
        <w:fldChar w:fldCharType="separate"/>
      </w:r>
      <w:r>
        <w:rPr>
          <w:color w:val="auto"/>
          <w:highlight w:val="none"/>
        </w:rPr>
        <w:t>12</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_Toc27719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第三章 思路与目标</w:t>
      </w:r>
      <w:r>
        <w:rPr>
          <w:color w:val="auto"/>
          <w:highlight w:val="none"/>
        </w:rPr>
        <w:tab/>
      </w:r>
      <w:r>
        <w:rPr>
          <w:color w:val="auto"/>
          <w:highlight w:val="none"/>
        </w:rPr>
        <w:fldChar w:fldCharType="begin"/>
      </w:r>
      <w:r>
        <w:rPr>
          <w:color w:val="auto"/>
          <w:highlight w:val="none"/>
        </w:rPr>
        <w:instrText xml:space="preserve"> PAGEREF _Toc27719 \h </w:instrText>
      </w:r>
      <w:r>
        <w:rPr>
          <w:color w:val="auto"/>
          <w:highlight w:val="none"/>
        </w:rPr>
        <w:fldChar w:fldCharType="separate"/>
      </w:r>
      <w:r>
        <w:rPr>
          <w:color w:val="auto"/>
          <w:highlight w:val="none"/>
        </w:rPr>
        <w:t>13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_Toc14314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（一）指导思想</w:t>
      </w:r>
      <w:r>
        <w:rPr>
          <w:color w:val="auto"/>
          <w:highlight w:val="none"/>
        </w:rPr>
        <w:tab/>
      </w:r>
      <w:r>
        <w:rPr>
          <w:color w:val="auto"/>
          <w:highlight w:val="none"/>
        </w:rPr>
        <w:fldChar w:fldCharType="begin"/>
      </w:r>
      <w:r>
        <w:rPr>
          <w:color w:val="auto"/>
          <w:highlight w:val="none"/>
        </w:rPr>
        <w:instrText xml:space="preserve"> PAGEREF _Toc14314 \h </w:instrText>
      </w:r>
      <w:r>
        <w:rPr>
          <w:color w:val="auto"/>
          <w:highlight w:val="none"/>
        </w:rPr>
        <w:fldChar w:fldCharType="separate"/>
      </w:r>
      <w:r>
        <w:rPr>
          <w:color w:val="auto"/>
          <w:highlight w:val="none"/>
        </w:rPr>
        <w:t>13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_Toc16216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（二）基本原则</w:t>
      </w:r>
      <w:r>
        <w:rPr>
          <w:color w:val="auto"/>
          <w:highlight w:val="none"/>
        </w:rPr>
        <w:tab/>
      </w:r>
      <w:r>
        <w:rPr>
          <w:color w:val="auto"/>
          <w:highlight w:val="none"/>
        </w:rPr>
        <w:fldChar w:fldCharType="begin"/>
      </w:r>
      <w:r>
        <w:rPr>
          <w:color w:val="auto"/>
          <w:highlight w:val="none"/>
        </w:rPr>
        <w:instrText xml:space="preserve"> PAGEREF _Toc16216 \h </w:instrText>
      </w:r>
      <w:r>
        <w:rPr>
          <w:color w:val="auto"/>
          <w:highlight w:val="none"/>
        </w:rPr>
        <w:fldChar w:fldCharType="separate"/>
      </w:r>
      <w:r>
        <w:rPr>
          <w:color w:val="auto"/>
          <w:highlight w:val="none"/>
        </w:rPr>
        <w:t>13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_Toc6905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（三）规划目标</w:t>
      </w:r>
      <w:r>
        <w:rPr>
          <w:color w:val="auto"/>
          <w:highlight w:val="none"/>
        </w:rPr>
        <w:tab/>
      </w:r>
      <w:r>
        <w:rPr>
          <w:color w:val="auto"/>
          <w:highlight w:val="none"/>
        </w:rPr>
        <w:fldChar w:fldCharType="begin"/>
      </w:r>
      <w:r>
        <w:rPr>
          <w:color w:val="auto"/>
          <w:highlight w:val="none"/>
        </w:rPr>
        <w:instrText xml:space="preserve"> PAGEREF _Toc6905 \h </w:instrText>
      </w:r>
      <w:r>
        <w:rPr>
          <w:color w:val="auto"/>
          <w:highlight w:val="none"/>
        </w:rPr>
        <w:fldChar w:fldCharType="separate"/>
      </w:r>
      <w:r>
        <w:rPr>
          <w:color w:val="auto"/>
          <w:highlight w:val="none"/>
        </w:rPr>
        <w:t>14</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_Toc24457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第四章  完善现代化应急指挥体系</w:t>
      </w:r>
      <w:r>
        <w:rPr>
          <w:color w:val="auto"/>
          <w:highlight w:val="none"/>
        </w:rPr>
        <w:tab/>
      </w:r>
      <w:r>
        <w:rPr>
          <w:color w:val="auto"/>
          <w:highlight w:val="none"/>
        </w:rPr>
        <w:fldChar w:fldCharType="begin"/>
      </w:r>
      <w:r>
        <w:rPr>
          <w:color w:val="auto"/>
          <w:highlight w:val="none"/>
        </w:rPr>
        <w:instrText xml:space="preserve"> PAGEREF _Toc24457 \h </w:instrText>
      </w:r>
      <w:r>
        <w:rPr>
          <w:color w:val="auto"/>
          <w:highlight w:val="none"/>
        </w:rPr>
        <w:fldChar w:fldCharType="separate"/>
      </w:r>
      <w:r>
        <w:rPr>
          <w:color w:val="auto"/>
          <w:highlight w:val="none"/>
        </w:rPr>
        <w:t>16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_Toc17391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（一）健全应急指挥体系</w:t>
      </w:r>
      <w:r>
        <w:rPr>
          <w:color w:val="auto"/>
          <w:highlight w:val="none"/>
        </w:rPr>
        <w:tab/>
      </w:r>
      <w:r>
        <w:rPr>
          <w:color w:val="auto"/>
          <w:highlight w:val="none"/>
        </w:rPr>
        <w:fldChar w:fldCharType="begin"/>
      </w:r>
      <w:r>
        <w:rPr>
          <w:color w:val="auto"/>
          <w:highlight w:val="none"/>
        </w:rPr>
        <w:instrText xml:space="preserve"> PAGEREF _Toc17391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_Toc5930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（二）完善协同联动与信息管理机制</w:t>
      </w:r>
      <w:r>
        <w:rPr>
          <w:color w:val="auto"/>
          <w:highlight w:val="none"/>
        </w:rPr>
        <w:tab/>
      </w:r>
      <w:r>
        <w:rPr>
          <w:color w:val="auto"/>
          <w:highlight w:val="none"/>
        </w:rPr>
        <w:fldChar w:fldCharType="begin"/>
      </w:r>
      <w:r>
        <w:rPr>
          <w:color w:val="auto"/>
          <w:highlight w:val="none"/>
        </w:rPr>
        <w:instrText xml:space="preserve"> PAGEREF _Toc5930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_Toc6175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（三）提升指挥决策支持与综合保障能力</w:t>
      </w:r>
      <w:r>
        <w:rPr>
          <w:color w:val="auto"/>
          <w:highlight w:val="none"/>
        </w:rPr>
        <w:tab/>
      </w:r>
      <w:r>
        <w:rPr>
          <w:color w:val="auto"/>
          <w:highlight w:val="none"/>
        </w:rPr>
        <w:fldChar w:fldCharType="begin"/>
      </w:r>
      <w:r>
        <w:rPr>
          <w:color w:val="auto"/>
          <w:highlight w:val="none"/>
        </w:rPr>
        <w:instrText xml:space="preserve"> PAGEREF _Toc6175 \h </w:instrText>
      </w:r>
      <w:r>
        <w:rPr>
          <w:color w:val="auto"/>
          <w:highlight w:val="none"/>
        </w:rPr>
        <w:fldChar w:fldCharType="separate"/>
      </w:r>
      <w:r>
        <w:rPr>
          <w:color w:val="auto"/>
          <w:highlight w:val="none"/>
        </w:rPr>
        <w:t>17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_Toc29057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（四）强化应急指挥处置能力</w:t>
      </w:r>
      <w:r>
        <w:rPr>
          <w:color w:val="auto"/>
          <w:highlight w:val="none"/>
        </w:rPr>
        <w:tab/>
      </w:r>
      <w:r>
        <w:rPr>
          <w:color w:val="auto"/>
          <w:highlight w:val="none"/>
        </w:rPr>
        <w:fldChar w:fldCharType="begin"/>
      </w:r>
      <w:r>
        <w:rPr>
          <w:color w:val="auto"/>
          <w:highlight w:val="none"/>
        </w:rPr>
        <w:instrText xml:space="preserve"> PAGEREF _Toc29057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_Toc11273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第五章  深化安全生产源头治理</w:t>
      </w:r>
      <w:r>
        <w:rPr>
          <w:color w:val="auto"/>
          <w:highlight w:val="none"/>
        </w:rPr>
        <w:tab/>
      </w:r>
      <w:r>
        <w:rPr>
          <w:color w:val="auto"/>
          <w:highlight w:val="none"/>
        </w:rPr>
        <w:fldChar w:fldCharType="begin"/>
      </w:r>
      <w:r>
        <w:rPr>
          <w:color w:val="auto"/>
          <w:highlight w:val="none"/>
        </w:rPr>
        <w:instrText xml:space="preserve"> PAGEREF _Toc11273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_Toc22035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（一）严格安全准入管控</w:t>
      </w:r>
      <w:r>
        <w:rPr>
          <w:color w:val="auto"/>
          <w:highlight w:val="none"/>
        </w:rPr>
        <w:tab/>
      </w:r>
      <w:r>
        <w:rPr>
          <w:color w:val="auto"/>
          <w:highlight w:val="none"/>
        </w:rPr>
        <w:fldChar w:fldCharType="begin"/>
      </w:r>
      <w:r>
        <w:rPr>
          <w:color w:val="auto"/>
          <w:highlight w:val="none"/>
        </w:rPr>
        <w:instrText xml:space="preserve"> PAGEREF _Toc22035 \h </w:instrText>
      </w:r>
      <w:r>
        <w:rPr>
          <w:color w:val="auto"/>
          <w:highlight w:val="none"/>
        </w:rPr>
        <w:fldChar w:fldCharType="separate"/>
      </w:r>
      <w:r>
        <w:rPr>
          <w:color w:val="auto"/>
          <w:highlight w:val="none"/>
        </w:rPr>
        <w:t>18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_Toc514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（二）加快落后工艺装备淘汰</w:t>
      </w:r>
      <w:r>
        <w:rPr>
          <w:color w:val="auto"/>
          <w:highlight w:val="none"/>
        </w:rPr>
        <w:tab/>
      </w:r>
      <w:r>
        <w:rPr>
          <w:color w:val="auto"/>
          <w:highlight w:val="none"/>
        </w:rPr>
        <w:fldChar w:fldCharType="begin"/>
      </w:r>
      <w:r>
        <w:rPr>
          <w:color w:val="auto"/>
          <w:highlight w:val="none"/>
        </w:rPr>
        <w:instrText xml:space="preserve"> PAGEREF _Toc514 \h </w:instrText>
      </w:r>
      <w:r>
        <w:rPr>
          <w:color w:val="auto"/>
          <w:highlight w:val="none"/>
        </w:rPr>
        <w:fldChar w:fldCharType="separate"/>
      </w:r>
      <w:r>
        <w:rPr>
          <w:color w:val="auto"/>
          <w:highlight w:val="none"/>
        </w:rPr>
        <w:t>19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_Toc6975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（三）提升本质安全水平</w:t>
      </w:r>
      <w:r>
        <w:rPr>
          <w:color w:val="auto"/>
          <w:highlight w:val="none"/>
        </w:rPr>
        <w:tab/>
      </w:r>
      <w:r>
        <w:rPr>
          <w:color w:val="auto"/>
          <w:highlight w:val="none"/>
        </w:rPr>
        <w:fldChar w:fldCharType="begin"/>
      </w:r>
      <w:r>
        <w:rPr>
          <w:color w:val="auto"/>
          <w:highlight w:val="none"/>
        </w:rPr>
        <w:instrText xml:space="preserve"> PAGEREF _Toc6975 \h </w:instrText>
      </w:r>
      <w:r>
        <w:rPr>
          <w:color w:val="auto"/>
          <w:highlight w:val="none"/>
        </w:rPr>
        <w:fldChar w:fldCharType="separate"/>
      </w:r>
      <w:r>
        <w:rPr>
          <w:color w:val="auto"/>
          <w:highlight w:val="none"/>
        </w:rPr>
        <w:t>19</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_Toc26333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第六章  强化重点领域安全风险管控</w:t>
      </w:r>
      <w:r>
        <w:rPr>
          <w:color w:val="auto"/>
          <w:highlight w:val="none"/>
        </w:rPr>
        <w:tab/>
      </w:r>
      <w:r>
        <w:rPr>
          <w:color w:val="auto"/>
          <w:highlight w:val="none"/>
        </w:rPr>
        <w:fldChar w:fldCharType="begin"/>
      </w:r>
      <w:r>
        <w:rPr>
          <w:color w:val="auto"/>
          <w:highlight w:val="none"/>
        </w:rPr>
        <w:instrText xml:space="preserve"> PAGEREF _Toc26333 \h </w:instrText>
      </w:r>
      <w:r>
        <w:rPr>
          <w:color w:val="auto"/>
          <w:highlight w:val="none"/>
        </w:rPr>
        <w:fldChar w:fldCharType="separate"/>
      </w:r>
      <w:r>
        <w:rPr>
          <w:color w:val="auto"/>
          <w:highlight w:val="none"/>
        </w:rPr>
        <w:t>19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_Toc12979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（一）规范新兴行业领域监管</w:t>
      </w:r>
      <w:r>
        <w:rPr>
          <w:color w:val="auto"/>
          <w:highlight w:val="none"/>
        </w:rPr>
        <w:tab/>
      </w:r>
      <w:r>
        <w:rPr>
          <w:color w:val="auto"/>
          <w:highlight w:val="none"/>
        </w:rPr>
        <w:fldChar w:fldCharType="begin"/>
      </w:r>
      <w:r>
        <w:rPr>
          <w:color w:val="auto"/>
          <w:highlight w:val="none"/>
        </w:rPr>
        <w:instrText xml:space="preserve"> PAGEREF _Toc12979 \h </w:instrText>
      </w:r>
      <w:r>
        <w:rPr>
          <w:color w:val="auto"/>
          <w:highlight w:val="none"/>
        </w:rPr>
        <w:fldChar w:fldCharType="separate"/>
      </w:r>
      <w:r>
        <w:rPr>
          <w:color w:val="auto"/>
          <w:highlight w:val="none"/>
        </w:rPr>
        <w:t>20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_Toc9491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（二）加大小微企业安全生产精准帮扶</w:t>
      </w:r>
      <w:r>
        <w:rPr>
          <w:color w:val="auto"/>
          <w:highlight w:val="none"/>
        </w:rPr>
        <w:tab/>
      </w:r>
      <w:r>
        <w:rPr>
          <w:color w:val="auto"/>
          <w:highlight w:val="none"/>
        </w:rPr>
        <w:fldChar w:fldCharType="begin"/>
      </w:r>
      <w:r>
        <w:rPr>
          <w:color w:val="auto"/>
          <w:highlight w:val="none"/>
        </w:rPr>
        <w:instrText xml:space="preserve"> PAGEREF _Toc9491 \h </w:instrText>
      </w:r>
      <w:r>
        <w:rPr>
          <w:color w:val="auto"/>
          <w:highlight w:val="none"/>
        </w:rPr>
        <w:fldChar w:fldCharType="separate"/>
      </w:r>
      <w:r>
        <w:rPr>
          <w:color w:val="auto"/>
          <w:highlight w:val="none"/>
        </w:rPr>
        <w:t>20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_Toc26240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（三）狠抓重点行业领域安全整治</w:t>
      </w:r>
      <w:r>
        <w:rPr>
          <w:color w:val="auto"/>
          <w:highlight w:val="none"/>
        </w:rPr>
        <w:tab/>
      </w:r>
      <w:r>
        <w:rPr>
          <w:color w:val="auto"/>
          <w:highlight w:val="none"/>
        </w:rPr>
        <w:fldChar w:fldCharType="begin"/>
      </w:r>
      <w:r>
        <w:rPr>
          <w:color w:val="auto"/>
          <w:highlight w:val="none"/>
        </w:rPr>
        <w:instrText xml:space="preserve"> PAGEREF _Toc26240 \h </w:instrText>
      </w:r>
      <w:r>
        <w:rPr>
          <w:color w:val="auto"/>
          <w:highlight w:val="none"/>
        </w:rPr>
        <w:fldChar w:fldCharType="separate"/>
      </w:r>
      <w:r>
        <w:rPr>
          <w:color w:val="auto"/>
          <w:highlight w:val="none"/>
        </w:rPr>
        <w:t>20</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_Toc18944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第七章  夯实安全生产主体责任</w:t>
      </w:r>
      <w:r>
        <w:rPr>
          <w:color w:val="auto"/>
          <w:highlight w:val="none"/>
        </w:rPr>
        <w:tab/>
      </w:r>
      <w:r>
        <w:rPr>
          <w:color w:val="auto"/>
          <w:highlight w:val="none"/>
        </w:rPr>
        <w:fldChar w:fldCharType="begin"/>
      </w:r>
      <w:r>
        <w:rPr>
          <w:color w:val="auto"/>
          <w:highlight w:val="none"/>
        </w:rPr>
        <w:instrText xml:space="preserve"> PAGEREF _Toc18944 \h </w:instrText>
      </w:r>
      <w:r>
        <w:rPr>
          <w:color w:val="auto"/>
          <w:highlight w:val="none"/>
        </w:rPr>
        <w:fldChar w:fldCharType="separate"/>
      </w:r>
      <w:r>
        <w:rPr>
          <w:color w:val="auto"/>
          <w:highlight w:val="none"/>
        </w:rPr>
        <w:t>29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_Toc5082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（一）强化属地管理责任</w:t>
      </w:r>
      <w:r>
        <w:rPr>
          <w:color w:val="auto"/>
          <w:highlight w:val="none"/>
        </w:rPr>
        <w:tab/>
      </w:r>
      <w:r>
        <w:rPr>
          <w:color w:val="auto"/>
          <w:highlight w:val="none"/>
        </w:rPr>
        <w:fldChar w:fldCharType="begin"/>
      </w:r>
      <w:r>
        <w:rPr>
          <w:color w:val="auto"/>
          <w:highlight w:val="none"/>
        </w:rPr>
        <w:instrText xml:space="preserve"> PAGEREF _Toc5082 \h </w:instrText>
      </w:r>
      <w:r>
        <w:rPr>
          <w:color w:val="auto"/>
          <w:highlight w:val="none"/>
        </w:rPr>
        <w:fldChar w:fldCharType="separate"/>
      </w:r>
      <w:r>
        <w:rPr>
          <w:color w:val="auto"/>
          <w:highlight w:val="none"/>
        </w:rPr>
        <w:t>29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_Toc22059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（二）明确部门监管职责</w:t>
      </w:r>
      <w:r>
        <w:rPr>
          <w:color w:val="auto"/>
          <w:highlight w:val="none"/>
        </w:rPr>
        <w:tab/>
      </w:r>
      <w:r>
        <w:rPr>
          <w:color w:val="auto"/>
          <w:highlight w:val="none"/>
        </w:rPr>
        <w:fldChar w:fldCharType="begin"/>
      </w:r>
      <w:r>
        <w:rPr>
          <w:color w:val="auto"/>
          <w:highlight w:val="none"/>
        </w:rPr>
        <w:instrText xml:space="preserve"> PAGEREF _Toc22059 \h </w:instrText>
      </w:r>
      <w:r>
        <w:rPr>
          <w:color w:val="auto"/>
          <w:highlight w:val="none"/>
        </w:rPr>
        <w:fldChar w:fldCharType="separate"/>
      </w:r>
      <w:r>
        <w:rPr>
          <w:color w:val="auto"/>
          <w:highlight w:val="none"/>
        </w:rPr>
        <w:t>30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_Toc30919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（三）压实企业主体责任</w:t>
      </w:r>
      <w:r>
        <w:rPr>
          <w:color w:val="auto"/>
          <w:highlight w:val="none"/>
        </w:rPr>
        <w:tab/>
      </w:r>
      <w:r>
        <w:rPr>
          <w:color w:val="auto"/>
          <w:highlight w:val="none"/>
        </w:rPr>
        <w:fldChar w:fldCharType="begin"/>
      </w:r>
      <w:r>
        <w:rPr>
          <w:color w:val="auto"/>
          <w:highlight w:val="none"/>
        </w:rPr>
        <w:instrText xml:space="preserve"> PAGEREF _Toc30919 \h </w:instrText>
      </w:r>
      <w:r>
        <w:rPr>
          <w:color w:val="auto"/>
          <w:highlight w:val="none"/>
        </w:rPr>
        <w:fldChar w:fldCharType="separate"/>
      </w:r>
      <w:r>
        <w:rPr>
          <w:color w:val="auto"/>
          <w:highlight w:val="none"/>
        </w:rPr>
        <w:t>30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_Toc14521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（四）严格责任追究与考核评价</w:t>
      </w:r>
      <w:r>
        <w:rPr>
          <w:color w:val="auto"/>
          <w:highlight w:val="none"/>
        </w:rPr>
        <w:tab/>
      </w:r>
      <w:r>
        <w:rPr>
          <w:color w:val="auto"/>
          <w:highlight w:val="none"/>
        </w:rPr>
        <w:fldChar w:fldCharType="begin"/>
      </w:r>
      <w:r>
        <w:rPr>
          <w:color w:val="auto"/>
          <w:highlight w:val="none"/>
        </w:rPr>
        <w:instrText xml:space="preserve"> PAGEREF _Toc14521 \h </w:instrText>
      </w:r>
      <w:r>
        <w:rPr>
          <w:color w:val="auto"/>
          <w:highlight w:val="none"/>
        </w:rPr>
        <w:fldChar w:fldCharType="separate"/>
      </w:r>
      <w:r>
        <w:rPr>
          <w:color w:val="auto"/>
          <w:highlight w:val="none"/>
        </w:rPr>
        <w:t>31</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_Toc5187 </w:instrText>
      </w:r>
      <w:r>
        <w:rPr>
          <w:color w:val="auto"/>
          <w:szCs w:val="32"/>
          <w:highlight w:val="none"/>
        </w:rPr>
        <w:fldChar w:fldCharType="separate"/>
      </w:r>
      <w:r>
        <w:rPr>
          <w:rFonts w:hint="eastAsia" w:ascii="方正黑体简体" w:hAnsi="方正黑体简体" w:eastAsia="方正黑体简体" w:cs="黑体"/>
          <w:bCs/>
          <w:color w:val="auto"/>
          <w:szCs w:val="32"/>
          <w:highlight w:val="none"/>
        </w:rPr>
        <w:t xml:space="preserve">第八章  </w:t>
      </w:r>
      <w:r>
        <w:rPr>
          <w:rFonts w:hint="eastAsia" w:ascii="方正黑体简体" w:hAnsi="方正黑体简体" w:eastAsia="方正黑体简体" w:cs="方正黑体简体"/>
          <w:bCs/>
          <w:color w:val="auto"/>
          <w:szCs w:val="32"/>
          <w:highlight w:val="none"/>
        </w:rPr>
        <w:t>提升安全生产社会共防共治能力</w:t>
      </w:r>
      <w:r>
        <w:rPr>
          <w:color w:val="auto"/>
          <w:highlight w:val="none"/>
        </w:rPr>
        <w:tab/>
      </w:r>
      <w:r>
        <w:rPr>
          <w:color w:val="auto"/>
          <w:highlight w:val="none"/>
        </w:rPr>
        <w:fldChar w:fldCharType="begin"/>
      </w:r>
      <w:r>
        <w:rPr>
          <w:color w:val="auto"/>
          <w:highlight w:val="none"/>
        </w:rPr>
        <w:instrText xml:space="preserve"> PAGEREF _Toc5187 \h </w:instrText>
      </w:r>
      <w:r>
        <w:rPr>
          <w:color w:val="auto"/>
          <w:highlight w:val="none"/>
        </w:rPr>
        <w:fldChar w:fldCharType="separate"/>
      </w:r>
      <w:r>
        <w:rPr>
          <w:color w:val="auto"/>
          <w:highlight w:val="none"/>
        </w:rPr>
        <w:t>31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_Toc14194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（一）健全举报奖励机制</w:t>
      </w:r>
      <w:r>
        <w:rPr>
          <w:color w:val="auto"/>
          <w:highlight w:val="none"/>
        </w:rPr>
        <w:tab/>
      </w:r>
      <w:r>
        <w:rPr>
          <w:color w:val="auto"/>
          <w:highlight w:val="none"/>
        </w:rPr>
        <w:fldChar w:fldCharType="begin"/>
      </w:r>
      <w:r>
        <w:rPr>
          <w:color w:val="auto"/>
          <w:highlight w:val="none"/>
        </w:rPr>
        <w:instrText xml:space="preserve"> PAGEREF _Toc14194 \h </w:instrText>
      </w:r>
      <w:r>
        <w:rPr>
          <w:color w:val="auto"/>
          <w:highlight w:val="none"/>
        </w:rPr>
        <w:fldChar w:fldCharType="separate"/>
      </w:r>
      <w:r>
        <w:rPr>
          <w:color w:val="auto"/>
          <w:highlight w:val="none"/>
        </w:rPr>
        <w:t>31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_Toc21679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（二）构建群防群治格局</w:t>
      </w:r>
      <w:r>
        <w:rPr>
          <w:color w:val="auto"/>
          <w:highlight w:val="none"/>
        </w:rPr>
        <w:tab/>
      </w:r>
      <w:r>
        <w:rPr>
          <w:color w:val="auto"/>
          <w:highlight w:val="none"/>
        </w:rPr>
        <w:fldChar w:fldCharType="begin"/>
      </w:r>
      <w:r>
        <w:rPr>
          <w:color w:val="auto"/>
          <w:highlight w:val="none"/>
        </w:rPr>
        <w:instrText xml:space="preserve"> PAGEREF _Toc21679 \h </w:instrText>
      </w:r>
      <w:r>
        <w:rPr>
          <w:color w:val="auto"/>
          <w:highlight w:val="none"/>
        </w:rPr>
        <w:fldChar w:fldCharType="separate"/>
      </w:r>
      <w:r>
        <w:rPr>
          <w:color w:val="auto"/>
          <w:highlight w:val="none"/>
        </w:rPr>
        <w:t>32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_Toc12297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（三）发挥安全生产责任保险事故预防功能</w:t>
      </w:r>
      <w:r>
        <w:rPr>
          <w:color w:val="auto"/>
          <w:highlight w:val="none"/>
        </w:rPr>
        <w:tab/>
      </w:r>
      <w:r>
        <w:rPr>
          <w:color w:val="auto"/>
          <w:highlight w:val="none"/>
        </w:rPr>
        <w:fldChar w:fldCharType="begin"/>
      </w:r>
      <w:r>
        <w:rPr>
          <w:color w:val="auto"/>
          <w:highlight w:val="none"/>
        </w:rPr>
        <w:instrText xml:space="preserve"> PAGEREF _Toc12297 \h </w:instrText>
      </w:r>
      <w:r>
        <w:rPr>
          <w:color w:val="auto"/>
          <w:highlight w:val="none"/>
        </w:rPr>
        <w:fldChar w:fldCharType="separate"/>
      </w:r>
      <w:r>
        <w:rPr>
          <w:color w:val="auto"/>
          <w:highlight w:val="none"/>
        </w:rPr>
        <w:t>32</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_Toc28287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 xml:space="preserve">第九章  </w:t>
      </w:r>
      <w:r>
        <w:rPr>
          <w:rFonts w:ascii="方正黑体简体" w:hAnsi="方正黑体简体" w:eastAsia="方正黑体简体" w:cs="方正黑体简体"/>
          <w:bCs/>
          <w:color w:val="auto"/>
          <w:szCs w:val="32"/>
          <w:highlight w:val="none"/>
        </w:rPr>
        <w:t>夯实防灾减灾救灾</w:t>
      </w:r>
      <w:r>
        <w:rPr>
          <w:rFonts w:hint="eastAsia" w:ascii="方正黑体简体" w:hAnsi="方正黑体简体" w:eastAsia="方正黑体简体" w:cs="方正黑体简体"/>
          <w:bCs/>
          <w:color w:val="auto"/>
          <w:szCs w:val="32"/>
          <w:highlight w:val="none"/>
        </w:rPr>
        <w:t>体系</w:t>
      </w:r>
      <w:r>
        <w:rPr>
          <w:rFonts w:ascii="方正黑体简体" w:hAnsi="方正黑体简体" w:eastAsia="方正黑体简体" w:cs="方正黑体简体"/>
          <w:bCs/>
          <w:color w:val="auto"/>
          <w:szCs w:val="32"/>
          <w:highlight w:val="none"/>
        </w:rPr>
        <w:t>基础</w:t>
      </w:r>
      <w:r>
        <w:rPr>
          <w:color w:val="auto"/>
          <w:highlight w:val="none"/>
        </w:rPr>
        <w:tab/>
      </w:r>
      <w:r>
        <w:rPr>
          <w:color w:val="auto"/>
          <w:highlight w:val="none"/>
        </w:rPr>
        <w:fldChar w:fldCharType="begin"/>
      </w:r>
      <w:r>
        <w:rPr>
          <w:color w:val="auto"/>
          <w:highlight w:val="none"/>
        </w:rPr>
        <w:instrText xml:space="preserve"> PAGEREF _Toc28287 \h </w:instrText>
      </w:r>
      <w:r>
        <w:rPr>
          <w:color w:val="auto"/>
          <w:highlight w:val="none"/>
        </w:rPr>
        <w:fldChar w:fldCharType="separate"/>
      </w:r>
      <w:r>
        <w:rPr>
          <w:color w:val="auto"/>
          <w:highlight w:val="none"/>
        </w:rPr>
        <w:t>32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_Toc17537 </w:instrText>
      </w:r>
      <w:r>
        <w:rPr>
          <w:color w:val="auto"/>
          <w:szCs w:val="32"/>
          <w:highlight w:val="none"/>
        </w:rPr>
        <w:fldChar w:fldCharType="separate"/>
      </w:r>
      <w:r>
        <w:rPr>
          <w:rFonts w:ascii="方正楷体简体" w:hAnsi="方正楷体简体" w:eastAsia="方正楷体简体" w:cs="方正楷体简体"/>
          <w:color w:val="auto"/>
          <w:highlight w:val="none"/>
        </w:rPr>
        <w:t>（一）健全统筹协调与灾害应对机制</w:t>
      </w:r>
      <w:r>
        <w:rPr>
          <w:color w:val="auto"/>
          <w:highlight w:val="none"/>
        </w:rPr>
        <w:tab/>
      </w:r>
      <w:r>
        <w:rPr>
          <w:color w:val="auto"/>
          <w:highlight w:val="none"/>
        </w:rPr>
        <w:fldChar w:fldCharType="begin"/>
      </w:r>
      <w:r>
        <w:rPr>
          <w:color w:val="auto"/>
          <w:highlight w:val="none"/>
        </w:rPr>
        <w:instrText xml:space="preserve"> PAGEREF _Toc17537 \h </w:instrText>
      </w:r>
      <w:r>
        <w:rPr>
          <w:color w:val="auto"/>
          <w:highlight w:val="none"/>
        </w:rPr>
        <w:fldChar w:fldCharType="separate"/>
      </w:r>
      <w:r>
        <w:rPr>
          <w:color w:val="auto"/>
          <w:highlight w:val="none"/>
        </w:rPr>
        <w:t>33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_Toc17791 </w:instrText>
      </w:r>
      <w:r>
        <w:rPr>
          <w:color w:val="auto"/>
          <w:szCs w:val="32"/>
          <w:highlight w:val="none"/>
        </w:rPr>
        <w:fldChar w:fldCharType="separate"/>
      </w:r>
      <w:r>
        <w:rPr>
          <w:rFonts w:ascii="方正楷体简体" w:hAnsi="方正楷体简体" w:eastAsia="方正楷体简体" w:cs="方正楷体简体"/>
          <w:color w:val="auto"/>
          <w:highlight w:val="none"/>
        </w:rPr>
        <w:t>（</w:t>
      </w:r>
      <w:r>
        <w:rPr>
          <w:rFonts w:hint="eastAsia" w:ascii="方正楷体简体" w:hAnsi="方正楷体简体" w:eastAsia="方正楷体简体" w:cs="方正楷体简体"/>
          <w:color w:val="auto"/>
          <w:highlight w:val="none"/>
        </w:rPr>
        <w:t>二</w:t>
      </w:r>
      <w:r>
        <w:rPr>
          <w:rFonts w:ascii="方正楷体简体" w:hAnsi="方正楷体简体" w:eastAsia="方正楷体简体" w:cs="方正楷体简体"/>
          <w:color w:val="auto"/>
          <w:highlight w:val="none"/>
        </w:rPr>
        <w:t>）深化灾害风险普查数据更新应用</w:t>
      </w:r>
      <w:r>
        <w:rPr>
          <w:color w:val="auto"/>
          <w:highlight w:val="none"/>
        </w:rPr>
        <w:tab/>
      </w:r>
      <w:r>
        <w:rPr>
          <w:color w:val="auto"/>
          <w:highlight w:val="none"/>
        </w:rPr>
        <w:fldChar w:fldCharType="begin"/>
      </w:r>
      <w:r>
        <w:rPr>
          <w:color w:val="auto"/>
          <w:highlight w:val="none"/>
        </w:rPr>
        <w:instrText xml:space="preserve"> PAGEREF _Toc17791 \h </w:instrText>
      </w:r>
      <w:r>
        <w:rPr>
          <w:color w:val="auto"/>
          <w:highlight w:val="none"/>
        </w:rPr>
        <w:fldChar w:fldCharType="separate"/>
      </w:r>
      <w:r>
        <w:rPr>
          <w:color w:val="auto"/>
          <w:highlight w:val="none"/>
        </w:rPr>
        <w:t>33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_Toc21480 </w:instrText>
      </w:r>
      <w:r>
        <w:rPr>
          <w:color w:val="auto"/>
          <w:szCs w:val="32"/>
          <w:highlight w:val="none"/>
        </w:rPr>
        <w:fldChar w:fldCharType="separate"/>
      </w:r>
      <w:r>
        <w:rPr>
          <w:rFonts w:ascii="方正楷体简体" w:hAnsi="方正楷体简体" w:eastAsia="方正楷体简体" w:cs="方正楷体简体"/>
          <w:color w:val="auto"/>
          <w:highlight w:val="none"/>
        </w:rPr>
        <w:t>（</w:t>
      </w:r>
      <w:r>
        <w:rPr>
          <w:rFonts w:hint="eastAsia" w:ascii="方正楷体简体" w:hAnsi="方正楷体简体" w:eastAsia="方正楷体简体" w:cs="方正楷体简体"/>
          <w:color w:val="auto"/>
          <w:highlight w:val="none"/>
        </w:rPr>
        <w:t>三</w:t>
      </w:r>
      <w:r>
        <w:rPr>
          <w:rFonts w:ascii="方正楷体简体" w:hAnsi="方正楷体简体" w:eastAsia="方正楷体简体" w:cs="方正楷体简体"/>
          <w:color w:val="auto"/>
          <w:highlight w:val="none"/>
        </w:rPr>
        <w:t>）织密灾害监测预警网络</w:t>
      </w:r>
      <w:r>
        <w:rPr>
          <w:color w:val="auto"/>
          <w:highlight w:val="none"/>
        </w:rPr>
        <w:tab/>
      </w:r>
      <w:r>
        <w:rPr>
          <w:color w:val="auto"/>
          <w:highlight w:val="none"/>
        </w:rPr>
        <w:fldChar w:fldCharType="begin"/>
      </w:r>
      <w:r>
        <w:rPr>
          <w:color w:val="auto"/>
          <w:highlight w:val="none"/>
        </w:rPr>
        <w:instrText xml:space="preserve"> PAGEREF _Toc21480 \h </w:instrText>
      </w:r>
      <w:r>
        <w:rPr>
          <w:color w:val="auto"/>
          <w:highlight w:val="none"/>
        </w:rPr>
        <w:fldChar w:fldCharType="separate"/>
      </w:r>
      <w:r>
        <w:rPr>
          <w:color w:val="auto"/>
          <w:highlight w:val="none"/>
        </w:rPr>
        <w:t>33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_Toc25903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（四）提高灾害救助水平</w:t>
      </w:r>
      <w:r>
        <w:rPr>
          <w:color w:val="auto"/>
          <w:highlight w:val="none"/>
        </w:rPr>
        <w:tab/>
      </w:r>
      <w:r>
        <w:rPr>
          <w:color w:val="auto"/>
          <w:highlight w:val="none"/>
        </w:rPr>
        <w:fldChar w:fldCharType="begin"/>
      </w:r>
      <w:r>
        <w:rPr>
          <w:color w:val="auto"/>
          <w:highlight w:val="none"/>
        </w:rPr>
        <w:instrText xml:space="preserve"> PAGEREF _Toc25903 \h </w:instrText>
      </w:r>
      <w:r>
        <w:rPr>
          <w:color w:val="auto"/>
          <w:highlight w:val="none"/>
        </w:rPr>
        <w:fldChar w:fldCharType="separate"/>
      </w:r>
      <w:r>
        <w:rPr>
          <w:color w:val="auto"/>
          <w:highlight w:val="none"/>
        </w:rPr>
        <w:t>34</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_Toc27075 </w:instrText>
      </w:r>
      <w:r>
        <w:rPr>
          <w:color w:val="auto"/>
          <w:szCs w:val="32"/>
          <w:highlight w:val="none"/>
        </w:rPr>
        <w:fldChar w:fldCharType="separate"/>
      </w:r>
      <w:r>
        <w:rPr>
          <w:rFonts w:ascii="方正楷体简体" w:hAnsi="方正楷体简体" w:eastAsia="方正楷体简体" w:cs="方正楷体简体"/>
          <w:color w:val="auto"/>
          <w:highlight w:val="none"/>
        </w:rPr>
        <w:t>（</w:t>
      </w:r>
      <w:r>
        <w:rPr>
          <w:rFonts w:hint="eastAsia" w:ascii="方正楷体简体" w:hAnsi="方正楷体简体" w:eastAsia="方正楷体简体" w:cs="方正楷体简体"/>
          <w:color w:val="auto"/>
          <w:highlight w:val="none"/>
        </w:rPr>
        <w:t>五</w:t>
      </w:r>
      <w:r>
        <w:rPr>
          <w:rFonts w:ascii="方正楷体简体" w:hAnsi="方正楷体简体" w:eastAsia="方正楷体简体" w:cs="方正楷体简体"/>
          <w:color w:val="auto"/>
          <w:highlight w:val="none"/>
        </w:rPr>
        <w:t>）推进应急避难场所规范化管理</w:t>
      </w:r>
      <w:r>
        <w:rPr>
          <w:color w:val="auto"/>
          <w:highlight w:val="none"/>
        </w:rPr>
        <w:tab/>
      </w:r>
      <w:r>
        <w:rPr>
          <w:color w:val="auto"/>
          <w:highlight w:val="none"/>
        </w:rPr>
        <w:fldChar w:fldCharType="begin"/>
      </w:r>
      <w:r>
        <w:rPr>
          <w:color w:val="auto"/>
          <w:highlight w:val="none"/>
        </w:rPr>
        <w:instrText xml:space="preserve"> PAGEREF _Toc27075 \h </w:instrText>
      </w:r>
      <w:r>
        <w:rPr>
          <w:color w:val="auto"/>
          <w:highlight w:val="none"/>
        </w:rPr>
        <w:fldChar w:fldCharType="separate"/>
      </w:r>
      <w:r>
        <w:rPr>
          <w:color w:val="auto"/>
          <w:highlight w:val="none"/>
        </w:rPr>
        <w:t>34</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_Toc10495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第十章  提升重点自然灾害精准防治能力</w:t>
      </w:r>
      <w:r>
        <w:rPr>
          <w:color w:val="auto"/>
          <w:highlight w:val="none"/>
        </w:rPr>
        <w:tab/>
      </w:r>
      <w:r>
        <w:rPr>
          <w:color w:val="auto"/>
          <w:highlight w:val="none"/>
        </w:rPr>
        <w:fldChar w:fldCharType="begin"/>
      </w:r>
      <w:r>
        <w:rPr>
          <w:color w:val="auto"/>
          <w:highlight w:val="none"/>
        </w:rPr>
        <w:instrText xml:space="preserve"> PAGEREF _Toc10495 \h </w:instrText>
      </w:r>
      <w:r>
        <w:rPr>
          <w:color w:val="auto"/>
          <w:highlight w:val="none"/>
        </w:rPr>
        <w:fldChar w:fldCharType="separate"/>
      </w:r>
      <w:r>
        <w:rPr>
          <w:color w:val="auto"/>
          <w:highlight w:val="none"/>
        </w:rPr>
        <w:t>35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_Toc25042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（一）筑牢水旱灾害安全防线</w:t>
      </w:r>
      <w:r>
        <w:rPr>
          <w:color w:val="auto"/>
          <w:highlight w:val="none"/>
        </w:rPr>
        <w:tab/>
      </w:r>
      <w:r>
        <w:rPr>
          <w:color w:val="auto"/>
          <w:highlight w:val="none"/>
        </w:rPr>
        <w:fldChar w:fldCharType="begin"/>
      </w:r>
      <w:r>
        <w:rPr>
          <w:color w:val="auto"/>
          <w:highlight w:val="none"/>
        </w:rPr>
        <w:instrText xml:space="preserve"> PAGEREF _Toc25042 \h </w:instrText>
      </w:r>
      <w:r>
        <w:rPr>
          <w:color w:val="auto"/>
          <w:highlight w:val="none"/>
        </w:rPr>
        <w:fldChar w:fldCharType="separate"/>
      </w:r>
      <w:r>
        <w:rPr>
          <w:color w:val="auto"/>
          <w:highlight w:val="none"/>
        </w:rPr>
        <w:t>35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_Toc31606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（二）强化森林火灾防控屏障</w:t>
      </w:r>
      <w:r>
        <w:rPr>
          <w:color w:val="auto"/>
          <w:highlight w:val="none"/>
        </w:rPr>
        <w:tab/>
      </w:r>
      <w:r>
        <w:rPr>
          <w:color w:val="auto"/>
          <w:highlight w:val="none"/>
        </w:rPr>
        <w:fldChar w:fldCharType="begin"/>
      </w:r>
      <w:r>
        <w:rPr>
          <w:color w:val="auto"/>
          <w:highlight w:val="none"/>
        </w:rPr>
        <w:instrText xml:space="preserve"> PAGEREF _Toc31606 \h </w:instrText>
      </w:r>
      <w:r>
        <w:rPr>
          <w:color w:val="auto"/>
          <w:highlight w:val="none"/>
        </w:rPr>
        <w:fldChar w:fldCharType="separate"/>
      </w:r>
      <w:r>
        <w:rPr>
          <w:color w:val="auto"/>
          <w:highlight w:val="none"/>
        </w:rPr>
        <w:t>35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_Toc11041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（三）夯实地震灾害防御基础</w:t>
      </w:r>
      <w:r>
        <w:rPr>
          <w:color w:val="auto"/>
          <w:highlight w:val="none"/>
        </w:rPr>
        <w:tab/>
      </w:r>
      <w:r>
        <w:rPr>
          <w:color w:val="auto"/>
          <w:highlight w:val="none"/>
        </w:rPr>
        <w:fldChar w:fldCharType="begin"/>
      </w:r>
      <w:r>
        <w:rPr>
          <w:color w:val="auto"/>
          <w:highlight w:val="none"/>
        </w:rPr>
        <w:instrText xml:space="preserve"> PAGEREF _Toc11041 \h </w:instrText>
      </w:r>
      <w:r>
        <w:rPr>
          <w:color w:val="auto"/>
          <w:highlight w:val="none"/>
        </w:rPr>
        <w:fldChar w:fldCharType="separate"/>
      </w:r>
      <w:r>
        <w:rPr>
          <w:color w:val="auto"/>
          <w:highlight w:val="none"/>
        </w:rPr>
        <w:t>36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_Toc2954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（四）增强极端天气应对韧性</w:t>
      </w:r>
      <w:r>
        <w:rPr>
          <w:color w:val="auto"/>
          <w:highlight w:val="none"/>
        </w:rPr>
        <w:tab/>
      </w:r>
      <w:r>
        <w:rPr>
          <w:color w:val="auto"/>
          <w:highlight w:val="none"/>
        </w:rPr>
        <w:fldChar w:fldCharType="begin"/>
      </w:r>
      <w:r>
        <w:rPr>
          <w:color w:val="auto"/>
          <w:highlight w:val="none"/>
        </w:rPr>
        <w:instrText xml:space="preserve"> PAGEREF _Toc2954 \h </w:instrText>
      </w:r>
      <w:r>
        <w:rPr>
          <w:color w:val="auto"/>
          <w:highlight w:val="none"/>
        </w:rPr>
        <w:fldChar w:fldCharType="separate"/>
      </w:r>
      <w:r>
        <w:rPr>
          <w:color w:val="auto"/>
          <w:highlight w:val="none"/>
        </w:rPr>
        <w:t>36</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_Toc11394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第十一章  强化应急救援实战能力</w:t>
      </w:r>
      <w:r>
        <w:rPr>
          <w:color w:val="auto"/>
          <w:highlight w:val="none"/>
        </w:rPr>
        <w:tab/>
      </w:r>
      <w:r>
        <w:rPr>
          <w:color w:val="auto"/>
          <w:highlight w:val="none"/>
        </w:rPr>
        <w:fldChar w:fldCharType="begin"/>
      </w:r>
      <w:r>
        <w:rPr>
          <w:color w:val="auto"/>
          <w:highlight w:val="none"/>
        </w:rPr>
        <w:instrText xml:space="preserve"> PAGEREF _Toc11394 \h </w:instrText>
      </w:r>
      <w:r>
        <w:rPr>
          <w:color w:val="auto"/>
          <w:highlight w:val="none"/>
        </w:rPr>
        <w:fldChar w:fldCharType="separate"/>
      </w:r>
      <w:r>
        <w:rPr>
          <w:color w:val="auto"/>
          <w:highlight w:val="none"/>
        </w:rPr>
        <w:t>37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_Toc4526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（一）强化应急预案与实战演练管理</w:t>
      </w:r>
      <w:r>
        <w:rPr>
          <w:color w:val="auto"/>
          <w:highlight w:val="none"/>
        </w:rPr>
        <w:tab/>
      </w:r>
      <w:r>
        <w:rPr>
          <w:color w:val="auto"/>
          <w:highlight w:val="none"/>
        </w:rPr>
        <w:fldChar w:fldCharType="begin"/>
      </w:r>
      <w:r>
        <w:rPr>
          <w:color w:val="auto"/>
          <w:highlight w:val="none"/>
        </w:rPr>
        <w:instrText xml:space="preserve"> PAGEREF _Toc4526 \h </w:instrText>
      </w:r>
      <w:r>
        <w:rPr>
          <w:color w:val="auto"/>
          <w:highlight w:val="none"/>
        </w:rPr>
        <w:fldChar w:fldCharType="separate"/>
      </w:r>
      <w:r>
        <w:rPr>
          <w:color w:val="auto"/>
          <w:highlight w:val="none"/>
        </w:rPr>
        <w:t>37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_Toc7646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（二）建强综合性应急救援骨干队伍</w:t>
      </w:r>
      <w:r>
        <w:rPr>
          <w:color w:val="auto"/>
          <w:highlight w:val="none"/>
        </w:rPr>
        <w:tab/>
      </w:r>
      <w:r>
        <w:rPr>
          <w:color w:val="auto"/>
          <w:highlight w:val="none"/>
        </w:rPr>
        <w:fldChar w:fldCharType="begin"/>
      </w:r>
      <w:r>
        <w:rPr>
          <w:color w:val="auto"/>
          <w:highlight w:val="none"/>
        </w:rPr>
        <w:instrText xml:space="preserve"> PAGEREF _Toc7646 \h </w:instrText>
      </w:r>
      <w:r>
        <w:rPr>
          <w:color w:val="auto"/>
          <w:highlight w:val="none"/>
        </w:rPr>
        <w:fldChar w:fldCharType="separate"/>
      </w:r>
      <w:r>
        <w:rPr>
          <w:color w:val="auto"/>
          <w:highlight w:val="none"/>
        </w:rPr>
        <w:t>37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_Toc19045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（三）健全应急物资保障体系</w:t>
      </w:r>
      <w:r>
        <w:rPr>
          <w:color w:val="auto"/>
          <w:highlight w:val="none"/>
        </w:rPr>
        <w:tab/>
      </w:r>
      <w:r>
        <w:rPr>
          <w:color w:val="auto"/>
          <w:highlight w:val="none"/>
        </w:rPr>
        <w:fldChar w:fldCharType="begin"/>
      </w:r>
      <w:r>
        <w:rPr>
          <w:color w:val="auto"/>
          <w:highlight w:val="none"/>
        </w:rPr>
        <w:instrText xml:space="preserve"> PAGEREF _Toc19045 \h </w:instrText>
      </w:r>
      <w:r>
        <w:rPr>
          <w:color w:val="auto"/>
          <w:highlight w:val="none"/>
        </w:rPr>
        <w:fldChar w:fldCharType="separate"/>
      </w:r>
      <w:r>
        <w:rPr>
          <w:color w:val="auto"/>
          <w:highlight w:val="none"/>
        </w:rPr>
        <w:t>38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_Toc1278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（四）提升应急指挥通信保障能力</w:t>
      </w:r>
      <w:r>
        <w:rPr>
          <w:color w:val="auto"/>
          <w:highlight w:val="none"/>
        </w:rPr>
        <w:tab/>
      </w:r>
      <w:r>
        <w:rPr>
          <w:color w:val="auto"/>
          <w:highlight w:val="none"/>
        </w:rPr>
        <w:fldChar w:fldCharType="begin"/>
      </w:r>
      <w:r>
        <w:rPr>
          <w:color w:val="auto"/>
          <w:highlight w:val="none"/>
        </w:rPr>
        <w:instrText xml:space="preserve"> PAGEREF _Toc1278 \h </w:instrText>
      </w:r>
      <w:r>
        <w:rPr>
          <w:color w:val="auto"/>
          <w:highlight w:val="none"/>
        </w:rPr>
        <w:fldChar w:fldCharType="separate"/>
      </w:r>
      <w:r>
        <w:rPr>
          <w:color w:val="auto"/>
          <w:highlight w:val="none"/>
        </w:rPr>
        <w:t>38</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_Toc14938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第十二章  加强基层应急能力建设</w:t>
      </w:r>
      <w:r>
        <w:rPr>
          <w:color w:val="auto"/>
          <w:highlight w:val="none"/>
        </w:rPr>
        <w:tab/>
      </w:r>
      <w:r>
        <w:rPr>
          <w:color w:val="auto"/>
          <w:highlight w:val="none"/>
        </w:rPr>
        <w:fldChar w:fldCharType="begin"/>
      </w:r>
      <w:r>
        <w:rPr>
          <w:color w:val="auto"/>
          <w:highlight w:val="none"/>
        </w:rPr>
        <w:instrText xml:space="preserve"> PAGEREF _Toc14938 \h </w:instrText>
      </w:r>
      <w:r>
        <w:rPr>
          <w:color w:val="auto"/>
          <w:highlight w:val="none"/>
        </w:rPr>
        <w:fldChar w:fldCharType="separate"/>
      </w:r>
      <w:r>
        <w:rPr>
          <w:color w:val="auto"/>
          <w:highlight w:val="none"/>
        </w:rPr>
        <w:t>39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_Toc14783 </w:instrText>
      </w:r>
      <w:r>
        <w:rPr>
          <w:color w:val="auto"/>
          <w:szCs w:val="32"/>
          <w:highlight w:val="none"/>
        </w:rPr>
        <w:fldChar w:fldCharType="separate"/>
      </w:r>
      <w:r>
        <w:rPr>
          <w:rFonts w:ascii="方正楷体简体" w:hAnsi="方正楷体简体" w:eastAsia="方正楷体简体" w:cs="方正楷体简体"/>
          <w:color w:val="auto"/>
          <w:highlight w:val="none"/>
        </w:rPr>
        <w:t>（一）健全基层应急组织体系</w:t>
      </w:r>
      <w:r>
        <w:rPr>
          <w:color w:val="auto"/>
          <w:highlight w:val="none"/>
        </w:rPr>
        <w:tab/>
      </w:r>
      <w:r>
        <w:rPr>
          <w:color w:val="auto"/>
          <w:highlight w:val="none"/>
        </w:rPr>
        <w:fldChar w:fldCharType="begin"/>
      </w:r>
      <w:r>
        <w:rPr>
          <w:color w:val="auto"/>
          <w:highlight w:val="none"/>
        </w:rPr>
        <w:instrText xml:space="preserve"> PAGEREF _Toc14783 \h </w:instrText>
      </w:r>
      <w:r>
        <w:rPr>
          <w:color w:val="auto"/>
          <w:highlight w:val="none"/>
        </w:rPr>
        <w:fldChar w:fldCharType="separate"/>
      </w:r>
      <w:r>
        <w:rPr>
          <w:color w:val="auto"/>
          <w:highlight w:val="none"/>
        </w:rPr>
        <w:t>39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_Toc12367 </w:instrText>
      </w:r>
      <w:r>
        <w:rPr>
          <w:color w:val="auto"/>
          <w:szCs w:val="32"/>
          <w:highlight w:val="none"/>
        </w:rPr>
        <w:fldChar w:fldCharType="separate"/>
      </w:r>
      <w:r>
        <w:rPr>
          <w:rFonts w:ascii="方正楷体简体" w:hAnsi="方正楷体简体" w:eastAsia="方正楷体简体" w:cs="方正楷体简体"/>
          <w:color w:val="auto"/>
          <w:highlight w:val="none"/>
        </w:rPr>
        <w:t>（二）提升基层风险防范能力</w:t>
      </w:r>
      <w:r>
        <w:rPr>
          <w:color w:val="auto"/>
          <w:highlight w:val="none"/>
        </w:rPr>
        <w:tab/>
      </w:r>
      <w:r>
        <w:rPr>
          <w:color w:val="auto"/>
          <w:highlight w:val="none"/>
        </w:rPr>
        <w:fldChar w:fldCharType="begin"/>
      </w:r>
      <w:r>
        <w:rPr>
          <w:color w:val="auto"/>
          <w:highlight w:val="none"/>
        </w:rPr>
        <w:instrText xml:space="preserve"> PAGEREF _Toc12367 \h </w:instrText>
      </w:r>
      <w:r>
        <w:rPr>
          <w:color w:val="auto"/>
          <w:highlight w:val="none"/>
        </w:rPr>
        <w:fldChar w:fldCharType="separate"/>
      </w:r>
      <w:r>
        <w:rPr>
          <w:color w:val="auto"/>
          <w:highlight w:val="none"/>
        </w:rPr>
        <w:t>40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_Toc13523 </w:instrText>
      </w:r>
      <w:r>
        <w:rPr>
          <w:color w:val="auto"/>
          <w:szCs w:val="32"/>
          <w:highlight w:val="none"/>
        </w:rPr>
        <w:fldChar w:fldCharType="separate"/>
      </w:r>
      <w:r>
        <w:rPr>
          <w:rFonts w:ascii="方正楷体简体" w:hAnsi="方正楷体简体" w:eastAsia="方正楷体简体" w:cs="方正楷体简体"/>
          <w:color w:val="auto"/>
          <w:highlight w:val="none"/>
        </w:rPr>
        <w:t>（三）加强基层应急</w:t>
      </w:r>
      <w:r>
        <w:rPr>
          <w:rFonts w:hint="eastAsia" w:ascii="方正楷体简体" w:hAnsi="方正楷体简体" w:eastAsia="方正楷体简体" w:cs="方正楷体简体"/>
          <w:color w:val="auto"/>
          <w:highlight w:val="none"/>
        </w:rPr>
        <w:t>处置</w:t>
      </w:r>
      <w:r>
        <w:rPr>
          <w:rFonts w:ascii="方正楷体简体" w:hAnsi="方正楷体简体" w:eastAsia="方正楷体简体" w:cs="方正楷体简体"/>
          <w:color w:val="auto"/>
          <w:highlight w:val="none"/>
        </w:rPr>
        <w:t>力量</w:t>
      </w:r>
      <w:r>
        <w:rPr>
          <w:color w:val="auto"/>
          <w:highlight w:val="none"/>
        </w:rPr>
        <w:tab/>
      </w:r>
      <w:r>
        <w:rPr>
          <w:color w:val="auto"/>
          <w:highlight w:val="none"/>
        </w:rPr>
        <w:fldChar w:fldCharType="begin"/>
      </w:r>
      <w:r>
        <w:rPr>
          <w:color w:val="auto"/>
          <w:highlight w:val="none"/>
        </w:rPr>
        <w:instrText xml:space="preserve"> PAGEREF _Toc13523 \h </w:instrText>
      </w:r>
      <w:r>
        <w:rPr>
          <w:color w:val="auto"/>
          <w:highlight w:val="none"/>
        </w:rPr>
        <w:fldChar w:fldCharType="separate"/>
      </w:r>
      <w:r>
        <w:rPr>
          <w:color w:val="auto"/>
          <w:highlight w:val="none"/>
        </w:rPr>
        <w:t>40</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_Toc23388 </w:instrText>
      </w:r>
      <w:r>
        <w:rPr>
          <w:color w:val="auto"/>
          <w:szCs w:val="32"/>
          <w:highlight w:val="none"/>
        </w:rPr>
        <w:fldChar w:fldCharType="separate"/>
      </w:r>
      <w:r>
        <w:rPr>
          <w:rFonts w:ascii="方正楷体简体" w:hAnsi="方正楷体简体" w:eastAsia="方正楷体简体" w:cs="方正楷体简体"/>
          <w:color w:val="auto"/>
          <w:highlight w:val="none"/>
        </w:rPr>
        <w:t>（四）强化基层应急保障支撑</w:t>
      </w:r>
      <w:r>
        <w:rPr>
          <w:color w:val="auto"/>
          <w:highlight w:val="none"/>
        </w:rPr>
        <w:tab/>
      </w:r>
      <w:r>
        <w:rPr>
          <w:color w:val="auto"/>
          <w:highlight w:val="none"/>
        </w:rPr>
        <w:fldChar w:fldCharType="begin"/>
      </w:r>
      <w:r>
        <w:rPr>
          <w:color w:val="auto"/>
          <w:highlight w:val="none"/>
        </w:rPr>
        <w:instrText xml:space="preserve"> PAGEREF _Toc23388 \h </w:instrText>
      </w:r>
      <w:r>
        <w:rPr>
          <w:color w:val="auto"/>
          <w:highlight w:val="none"/>
        </w:rPr>
        <w:fldChar w:fldCharType="separate"/>
      </w:r>
      <w:r>
        <w:rPr>
          <w:color w:val="auto"/>
          <w:highlight w:val="none"/>
        </w:rPr>
        <w:t>41</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_Toc17776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第十三章  新质生产力赋能智慧应急</w:t>
      </w:r>
      <w:r>
        <w:rPr>
          <w:color w:val="auto"/>
          <w:highlight w:val="none"/>
        </w:rPr>
        <w:tab/>
      </w:r>
      <w:r>
        <w:rPr>
          <w:color w:val="auto"/>
          <w:highlight w:val="none"/>
        </w:rPr>
        <w:fldChar w:fldCharType="begin"/>
      </w:r>
      <w:r>
        <w:rPr>
          <w:color w:val="auto"/>
          <w:highlight w:val="none"/>
        </w:rPr>
        <w:instrText xml:space="preserve"> PAGEREF _Toc17776 \h </w:instrText>
      </w:r>
      <w:r>
        <w:rPr>
          <w:color w:val="auto"/>
          <w:highlight w:val="none"/>
        </w:rPr>
        <w:fldChar w:fldCharType="separate"/>
      </w:r>
      <w:r>
        <w:rPr>
          <w:color w:val="auto"/>
          <w:highlight w:val="none"/>
        </w:rPr>
        <w:t>41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_Toc16473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（一）强化应急装备配置</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41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_Toc28066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（二）培育安全应急产业</w:t>
      </w:r>
      <w:r>
        <w:rPr>
          <w:color w:val="auto"/>
          <w:highlight w:val="none"/>
        </w:rPr>
        <w:tab/>
      </w:r>
      <w:r>
        <w:rPr>
          <w:color w:val="auto"/>
          <w:highlight w:val="none"/>
        </w:rPr>
        <w:fldChar w:fldCharType="begin"/>
      </w:r>
      <w:r>
        <w:rPr>
          <w:color w:val="auto"/>
          <w:highlight w:val="none"/>
        </w:rPr>
        <w:instrText xml:space="preserve"> PAGEREF _Toc28066 \h </w:instrText>
      </w:r>
      <w:r>
        <w:rPr>
          <w:color w:val="auto"/>
          <w:highlight w:val="none"/>
        </w:rPr>
        <w:fldChar w:fldCharType="separate"/>
      </w:r>
      <w:r>
        <w:rPr>
          <w:color w:val="auto"/>
          <w:highlight w:val="none"/>
        </w:rPr>
        <w:t>42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_Toc28521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（三）提升科技支撑能力</w:t>
      </w:r>
      <w:r>
        <w:rPr>
          <w:color w:val="auto"/>
          <w:highlight w:val="none"/>
        </w:rPr>
        <w:tab/>
      </w:r>
      <w:r>
        <w:rPr>
          <w:color w:val="auto"/>
          <w:highlight w:val="none"/>
        </w:rPr>
        <w:fldChar w:fldCharType="begin"/>
      </w:r>
      <w:r>
        <w:rPr>
          <w:color w:val="auto"/>
          <w:highlight w:val="none"/>
        </w:rPr>
        <w:instrText xml:space="preserve"> PAGEREF _Toc28521 \h </w:instrText>
      </w:r>
      <w:r>
        <w:rPr>
          <w:color w:val="auto"/>
          <w:highlight w:val="none"/>
        </w:rPr>
        <w:fldChar w:fldCharType="separate"/>
      </w:r>
      <w:r>
        <w:rPr>
          <w:color w:val="auto"/>
          <w:highlight w:val="none"/>
        </w:rPr>
        <w:t>42</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_Toc25123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第十四章  提升应急管理法治化水平</w:t>
      </w:r>
      <w:r>
        <w:rPr>
          <w:color w:val="auto"/>
          <w:highlight w:val="none"/>
        </w:rPr>
        <w:tab/>
      </w:r>
      <w:r>
        <w:rPr>
          <w:color w:val="auto"/>
          <w:highlight w:val="none"/>
        </w:rPr>
        <w:fldChar w:fldCharType="begin"/>
      </w:r>
      <w:r>
        <w:rPr>
          <w:color w:val="auto"/>
          <w:highlight w:val="none"/>
        </w:rPr>
        <w:instrText xml:space="preserve"> PAGEREF _Toc25123 \h </w:instrText>
      </w:r>
      <w:r>
        <w:rPr>
          <w:color w:val="auto"/>
          <w:highlight w:val="none"/>
        </w:rPr>
        <w:fldChar w:fldCharType="separate"/>
      </w:r>
      <w:r>
        <w:rPr>
          <w:color w:val="auto"/>
          <w:highlight w:val="none"/>
        </w:rPr>
        <w:t>42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_Toc8952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（一）加强法规标准宣贯实施</w:t>
      </w:r>
      <w:r>
        <w:rPr>
          <w:color w:val="auto"/>
          <w:highlight w:val="none"/>
        </w:rPr>
        <w:tab/>
      </w:r>
      <w:r>
        <w:rPr>
          <w:color w:val="auto"/>
          <w:highlight w:val="none"/>
        </w:rPr>
        <w:fldChar w:fldCharType="begin"/>
      </w:r>
      <w:r>
        <w:rPr>
          <w:color w:val="auto"/>
          <w:highlight w:val="none"/>
        </w:rPr>
        <w:instrText xml:space="preserve"> PAGEREF _Toc8952 \h </w:instrText>
      </w:r>
      <w:r>
        <w:rPr>
          <w:color w:val="auto"/>
          <w:highlight w:val="none"/>
        </w:rPr>
        <w:fldChar w:fldCharType="separate"/>
      </w:r>
      <w:r>
        <w:rPr>
          <w:color w:val="auto"/>
          <w:highlight w:val="none"/>
        </w:rPr>
        <w:t>43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_Toc20955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（二）提升行政执法质效</w:t>
      </w:r>
      <w:r>
        <w:rPr>
          <w:color w:val="auto"/>
          <w:highlight w:val="none"/>
        </w:rPr>
        <w:tab/>
      </w:r>
      <w:r>
        <w:rPr>
          <w:color w:val="auto"/>
          <w:highlight w:val="none"/>
        </w:rPr>
        <w:fldChar w:fldCharType="begin"/>
      </w:r>
      <w:r>
        <w:rPr>
          <w:color w:val="auto"/>
          <w:highlight w:val="none"/>
        </w:rPr>
        <w:instrText xml:space="preserve"> PAGEREF _Toc20955 \h </w:instrText>
      </w:r>
      <w:r>
        <w:rPr>
          <w:color w:val="auto"/>
          <w:highlight w:val="none"/>
        </w:rPr>
        <w:fldChar w:fldCharType="separate"/>
      </w:r>
      <w:r>
        <w:rPr>
          <w:color w:val="auto"/>
          <w:highlight w:val="none"/>
        </w:rPr>
        <w:t>43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_Toc31673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（三）深化事故调查评估与警示教育</w:t>
      </w:r>
      <w:r>
        <w:rPr>
          <w:color w:val="auto"/>
          <w:highlight w:val="none"/>
        </w:rPr>
        <w:tab/>
      </w:r>
      <w:r>
        <w:rPr>
          <w:color w:val="auto"/>
          <w:highlight w:val="none"/>
        </w:rPr>
        <w:fldChar w:fldCharType="begin"/>
      </w:r>
      <w:r>
        <w:rPr>
          <w:color w:val="auto"/>
          <w:highlight w:val="none"/>
        </w:rPr>
        <w:instrText xml:space="preserve"> PAGEREF _Toc31673 \h </w:instrText>
      </w:r>
      <w:r>
        <w:rPr>
          <w:color w:val="auto"/>
          <w:highlight w:val="none"/>
        </w:rPr>
        <w:fldChar w:fldCharType="separate"/>
      </w:r>
      <w:r>
        <w:rPr>
          <w:color w:val="auto"/>
          <w:highlight w:val="none"/>
        </w:rPr>
        <w:t>43</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_Toc31354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（四）推进应急管理普法宣传</w:t>
      </w:r>
      <w:r>
        <w:rPr>
          <w:color w:val="auto"/>
          <w:highlight w:val="none"/>
        </w:rPr>
        <w:tab/>
      </w:r>
      <w:r>
        <w:rPr>
          <w:color w:val="auto"/>
          <w:highlight w:val="none"/>
        </w:rPr>
        <w:fldChar w:fldCharType="begin"/>
      </w:r>
      <w:r>
        <w:rPr>
          <w:color w:val="auto"/>
          <w:highlight w:val="none"/>
        </w:rPr>
        <w:instrText xml:space="preserve"> PAGEREF _Toc31354 \h </w:instrText>
      </w:r>
      <w:r>
        <w:rPr>
          <w:color w:val="auto"/>
          <w:highlight w:val="none"/>
        </w:rPr>
        <w:fldChar w:fldCharType="separate"/>
      </w:r>
      <w:r>
        <w:rPr>
          <w:color w:val="auto"/>
          <w:highlight w:val="none"/>
        </w:rPr>
        <w:t>44</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_Toc26969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第十五章  开展素质固安“安全明白人”建设工程</w:t>
      </w:r>
      <w:r>
        <w:rPr>
          <w:color w:val="auto"/>
          <w:highlight w:val="none"/>
        </w:rPr>
        <w:tab/>
      </w:r>
      <w:r>
        <w:rPr>
          <w:color w:val="auto"/>
          <w:highlight w:val="none"/>
        </w:rPr>
        <w:fldChar w:fldCharType="begin"/>
      </w:r>
      <w:r>
        <w:rPr>
          <w:color w:val="auto"/>
          <w:highlight w:val="none"/>
        </w:rPr>
        <w:instrText xml:space="preserve"> PAGEREF _Toc26969 \h </w:instrText>
      </w:r>
      <w:r>
        <w:rPr>
          <w:color w:val="auto"/>
          <w:highlight w:val="none"/>
        </w:rPr>
        <w:fldChar w:fldCharType="separate"/>
      </w:r>
      <w:r>
        <w:rPr>
          <w:color w:val="auto"/>
          <w:highlight w:val="none"/>
        </w:rPr>
        <w:t>44</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_Toc31433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（一）完善科普宣传教育体系</w:t>
      </w:r>
      <w:r>
        <w:rPr>
          <w:color w:val="auto"/>
          <w:highlight w:val="none"/>
        </w:rPr>
        <w:tab/>
      </w:r>
      <w:r>
        <w:rPr>
          <w:color w:val="auto"/>
          <w:highlight w:val="none"/>
        </w:rPr>
        <w:fldChar w:fldCharType="begin"/>
      </w:r>
      <w:r>
        <w:rPr>
          <w:color w:val="auto"/>
          <w:highlight w:val="none"/>
        </w:rPr>
        <w:instrText xml:space="preserve"> PAGEREF _Toc31433 \h </w:instrText>
      </w:r>
      <w:r>
        <w:rPr>
          <w:color w:val="auto"/>
          <w:highlight w:val="none"/>
        </w:rPr>
        <w:fldChar w:fldCharType="separate"/>
      </w:r>
      <w:r>
        <w:rPr>
          <w:color w:val="auto"/>
          <w:highlight w:val="none"/>
        </w:rPr>
        <w:t>44</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_Toc3587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（二）培育企业安全生产“明白人”</w:t>
      </w:r>
      <w:r>
        <w:rPr>
          <w:color w:val="auto"/>
          <w:highlight w:val="none"/>
        </w:rPr>
        <w:tab/>
      </w:r>
      <w:r>
        <w:rPr>
          <w:color w:val="auto"/>
          <w:highlight w:val="none"/>
        </w:rPr>
        <w:fldChar w:fldCharType="begin"/>
      </w:r>
      <w:r>
        <w:rPr>
          <w:color w:val="auto"/>
          <w:highlight w:val="none"/>
        </w:rPr>
        <w:instrText xml:space="preserve"> PAGEREF _Toc3587 \h </w:instrText>
      </w:r>
      <w:r>
        <w:rPr>
          <w:color w:val="auto"/>
          <w:highlight w:val="none"/>
        </w:rPr>
        <w:fldChar w:fldCharType="separate"/>
      </w:r>
      <w:r>
        <w:rPr>
          <w:color w:val="auto"/>
          <w:highlight w:val="none"/>
        </w:rPr>
        <w:t>45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_Toc6311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（三）创新安全生产培训考试机制</w:t>
      </w:r>
      <w:r>
        <w:rPr>
          <w:color w:val="auto"/>
          <w:highlight w:val="none"/>
        </w:rPr>
        <w:tab/>
      </w:r>
      <w:r>
        <w:rPr>
          <w:color w:val="auto"/>
          <w:highlight w:val="none"/>
        </w:rPr>
        <w:fldChar w:fldCharType="begin"/>
      </w:r>
      <w:r>
        <w:rPr>
          <w:color w:val="auto"/>
          <w:highlight w:val="none"/>
        </w:rPr>
        <w:instrText xml:space="preserve"> PAGEREF _Toc6311 \h </w:instrText>
      </w:r>
      <w:r>
        <w:rPr>
          <w:color w:val="auto"/>
          <w:highlight w:val="none"/>
        </w:rPr>
        <w:fldChar w:fldCharType="separate"/>
      </w:r>
      <w:r>
        <w:rPr>
          <w:color w:val="auto"/>
          <w:highlight w:val="none"/>
        </w:rPr>
        <w:t>45</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_Toc6900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（四）营造社会安全文化氛围</w:t>
      </w:r>
      <w:r>
        <w:rPr>
          <w:color w:val="auto"/>
          <w:highlight w:val="none"/>
        </w:rPr>
        <w:tab/>
      </w:r>
      <w:r>
        <w:rPr>
          <w:color w:val="auto"/>
          <w:highlight w:val="none"/>
        </w:rPr>
        <w:fldChar w:fldCharType="begin"/>
      </w:r>
      <w:r>
        <w:rPr>
          <w:color w:val="auto"/>
          <w:highlight w:val="none"/>
        </w:rPr>
        <w:instrText xml:space="preserve"> PAGEREF _Toc6900 \h </w:instrText>
      </w:r>
      <w:r>
        <w:rPr>
          <w:color w:val="auto"/>
          <w:highlight w:val="none"/>
        </w:rPr>
        <w:fldChar w:fldCharType="separate"/>
      </w:r>
      <w:r>
        <w:rPr>
          <w:color w:val="auto"/>
          <w:highlight w:val="none"/>
        </w:rPr>
        <w:t>46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_Toc8143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（五）提升科普宣传实效</w:t>
      </w:r>
      <w:r>
        <w:rPr>
          <w:color w:val="auto"/>
          <w:highlight w:val="none"/>
        </w:rPr>
        <w:tab/>
      </w:r>
      <w:r>
        <w:rPr>
          <w:color w:val="auto"/>
          <w:highlight w:val="none"/>
        </w:rPr>
        <w:fldChar w:fldCharType="begin"/>
      </w:r>
      <w:r>
        <w:rPr>
          <w:color w:val="auto"/>
          <w:highlight w:val="none"/>
        </w:rPr>
        <w:instrText xml:space="preserve"> PAGEREF _Toc8143 \h </w:instrText>
      </w:r>
      <w:r>
        <w:rPr>
          <w:color w:val="auto"/>
          <w:highlight w:val="none"/>
        </w:rPr>
        <w:fldChar w:fldCharType="separate"/>
      </w:r>
      <w:r>
        <w:rPr>
          <w:color w:val="auto"/>
          <w:highlight w:val="none"/>
        </w:rPr>
        <w:t>46</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_Toc22184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第十六章  培育高素质应急人才</w:t>
      </w:r>
      <w:r>
        <w:rPr>
          <w:color w:val="auto"/>
          <w:highlight w:val="none"/>
        </w:rPr>
        <w:tab/>
      </w:r>
      <w:r>
        <w:rPr>
          <w:color w:val="auto"/>
          <w:highlight w:val="none"/>
        </w:rPr>
        <w:fldChar w:fldCharType="begin"/>
      </w:r>
      <w:r>
        <w:rPr>
          <w:color w:val="auto"/>
          <w:highlight w:val="none"/>
        </w:rPr>
        <w:instrText xml:space="preserve"> PAGEREF _Toc22184 \h </w:instrText>
      </w:r>
      <w:r>
        <w:rPr>
          <w:color w:val="auto"/>
          <w:highlight w:val="none"/>
        </w:rPr>
        <w:fldChar w:fldCharType="separate"/>
      </w:r>
      <w:r>
        <w:rPr>
          <w:color w:val="auto"/>
          <w:highlight w:val="none"/>
        </w:rPr>
        <w:t>46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_Toc26578 </w:instrText>
      </w:r>
      <w:r>
        <w:rPr>
          <w:color w:val="auto"/>
          <w:szCs w:val="32"/>
          <w:highlight w:val="none"/>
        </w:rPr>
        <w:fldChar w:fldCharType="separate"/>
      </w:r>
      <w:r>
        <w:rPr>
          <w:rFonts w:hint="eastAsia" w:ascii="方正楷体简体" w:hAnsi="方正楷体简体" w:eastAsia="方正楷体简体" w:cs="方正楷体简体"/>
          <w:color w:val="auto"/>
          <w:highlight w:val="none"/>
          <w:lang w:val="en-US" w:eastAsia="zh-CN"/>
        </w:rPr>
        <w:t>（一）完善干部选用工作机制</w:t>
      </w:r>
      <w:r>
        <w:rPr>
          <w:color w:val="auto"/>
          <w:highlight w:val="none"/>
        </w:rPr>
        <w:tab/>
      </w:r>
      <w:r>
        <w:rPr>
          <w:color w:val="auto"/>
          <w:highlight w:val="none"/>
        </w:rPr>
        <w:fldChar w:fldCharType="begin"/>
      </w:r>
      <w:r>
        <w:rPr>
          <w:color w:val="auto"/>
          <w:highlight w:val="none"/>
        </w:rPr>
        <w:instrText xml:space="preserve"> PAGEREF _Toc26578 \h </w:instrText>
      </w:r>
      <w:r>
        <w:rPr>
          <w:color w:val="auto"/>
          <w:highlight w:val="none"/>
        </w:rPr>
        <w:fldChar w:fldCharType="separate"/>
      </w:r>
      <w:r>
        <w:rPr>
          <w:color w:val="auto"/>
          <w:highlight w:val="none"/>
        </w:rPr>
        <w:t>46</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_Toc16740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（二）建强应急管理干部队伍</w:t>
      </w:r>
      <w:r>
        <w:rPr>
          <w:color w:val="auto"/>
          <w:highlight w:val="none"/>
        </w:rPr>
        <w:tab/>
      </w:r>
      <w:r>
        <w:rPr>
          <w:color w:val="auto"/>
          <w:highlight w:val="none"/>
        </w:rPr>
        <w:fldChar w:fldCharType="begin"/>
      </w:r>
      <w:r>
        <w:rPr>
          <w:color w:val="auto"/>
          <w:highlight w:val="none"/>
        </w:rPr>
        <w:instrText xml:space="preserve"> PAGEREF _Toc16740 \h </w:instrText>
      </w:r>
      <w:r>
        <w:rPr>
          <w:color w:val="auto"/>
          <w:highlight w:val="none"/>
        </w:rPr>
        <w:fldChar w:fldCharType="separate"/>
      </w:r>
      <w:r>
        <w:rPr>
          <w:color w:val="auto"/>
          <w:highlight w:val="none"/>
        </w:rPr>
        <w:t>47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_Toc17137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（三）加强专业人才培养</w:t>
      </w:r>
      <w:r>
        <w:rPr>
          <w:color w:val="auto"/>
          <w:highlight w:val="none"/>
        </w:rPr>
        <w:tab/>
      </w:r>
      <w:r>
        <w:rPr>
          <w:color w:val="auto"/>
          <w:highlight w:val="none"/>
        </w:rPr>
        <w:fldChar w:fldCharType="begin"/>
      </w:r>
      <w:r>
        <w:rPr>
          <w:color w:val="auto"/>
          <w:highlight w:val="none"/>
        </w:rPr>
        <w:instrText xml:space="preserve"> PAGEREF _Toc17137 \h </w:instrText>
      </w:r>
      <w:r>
        <w:rPr>
          <w:color w:val="auto"/>
          <w:highlight w:val="none"/>
        </w:rPr>
        <w:fldChar w:fldCharType="separate"/>
      </w:r>
      <w:r>
        <w:rPr>
          <w:color w:val="auto"/>
          <w:highlight w:val="none"/>
        </w:rPr>
        <w:t>47</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_Toc13103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（四）打造实战型应急专家智库</w:t>
      </w:r>
      <w:r>
        <w:rPr>
          <w:color w:val="auto"/>
          <w:highlight w:val="none"/>
        </w:rPr>
        <w:tab/>
      </w:r>
      <w:r>
        <w:rPr>
          <w:color w:val="auto"/>
          <w:highlight w:val="none"/>
        </w:rPr>
        <w:fldChar w:fldCharType="begin"/>
      </w:r>
      <w:r>
        <w:rPr>
          <w:color w:val="auto"/>
          <w:highlight w:val="none"/>
        </w:rPr>
        <w:instrText xml:space="preserve"> PAGEREF _Toc13103 \h </w:instrText>
      </w:r>
      <w:r>
        <w:rPr>
          <w:color w:val="auto"/>
          <w:highlight w:val="none"/>
        </w:rPr>
        <w:fldChar w:fldCharType="separate"/>
      </w:r>
      <w:r>
        <w:rPr>
          <w:color w:val="auto"/>
          <w:highlight w:val="none"/>
        </w:rPr>
        <w:t>47</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_Toc25786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第十七章 重大工程</w:t>
      </w:r>
      <w:r>
        <w:rPr>
          <w:color w:val="auto"/>
          <w:highlight w:val="none"/>
        </w:rPr>
        <w:tab/>
      </w:r>
      <w:r>
        <w:rPr>
          <w:color w:val="auto"/>
          <w:highlight w:val="none"/>
        </w:rPr>
        <w:fldChar w:fldCharType="begin"/>
      </w:r>
      <w:r>
        <w:rPr>
          <w:color w:val="auto"/>
          <w:highlight w:val="none"/>
        </w:rPr>
        <w:instrText xml:space="preserve"> PAGEREF _Toc25786 \h </w:instrText>
      </w:r>
      <w:r>
        <w:rPr>
          <w:color w:val="auto"/>
          <w:highlight w:val="none"/>
        </w:rPr>
        <w:fldChar w:fldCharType="separate"/>
      </w:r>
      <w:r>
        <w:rPr>
          <w:color w:val="auto"/>
          <w:highlight w:val="none"/>
        </w:rPr>
        <w:t>48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_Toc26230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（一）现代化应急指挥体系提升工程</w:t>
      </w:r>
      <w:r>
        <w:rPr>
          <w:color w:val="auto"/>
          <w:highlight w:val="none"/>
        </w:rPr>
        <w:tab/>
      </w:r>
      <w:r>
        <w:rPr>
          <w:color w:val="auto"/>
          <w:highlight w:val="none"/>
        </w:rPr>
        <w:fldChar w:fldCharType="begin"/>
      </w:r>
      <w:r>
        <w:rPr>
          <w:color w:val="auto"/>
          <w:highlight w:val="none"/>
        </w:rPr>
        <w:instrText xml:space="preserve"> PAGEREF _Toc26230 \h </w:instrText>
      </w:r>
      <w:r>
        <w:rPr>
          <w:color w:val="auto"/>
          <w:highlight w:val="none"/>
        </w:rPr>
        <w:fldChar w:fldCharType="separate"/>
      </w:r>
      <w:r>
        <w:rPr>
          <w:color w:val="auto"/>
          <w:highlight w:val="none"/>
        </w:rPr>
        <w:t>48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_Toc1685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（二）重点领域安全风险管控工程</w:t>
      </w:r>
      <w:r>
        <w:rPr>
          <w:color w:val="auto"/>
          <w:highlight w:val="none"/>
        </w:rPr>
        <w:tab/>
      </w:r>
      <w:r>
        <w:rPr>
          <w:color w:val="auto"/>
          <w:highlight w:val="none"/>
        </w:rPr>
        <w:fldChar w:fldCharType="begin"/>
      </w:r>
      <w:r>
        <w:rPr>
          <w:color w:val="auto"/>
          <w:highlight w:val="none"/>
        </w:rPr>
        <w:instrText xml:space="preserve"> PAGEREF _Toc1685 \h </w:instrText>
      </w:r>
      <w:r>
        <w:rPr>
          <w:color w:val="auto"/>
          <w:highlight w:val="none"/>
        </w:rPr>
        <w:fldChar w:fldCharType="separate"/>
      </w:r>
      <w:r>
        <w:rPr>
          <w:color w:val="auto"/>
          <w:highlight w:val="none"/>
        </w:rPr>
        <w:t>48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_Toc15601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（三）安全生产主体责任落实重点工程</w:t>
      </w:r>
      <w:r>
        <w:rPr>
          <w:color w:val="auto"/>
          <w:highlight w:val="none"/>
        </w:rPr>
        <w:tab/>
      </w:r>
      <w:r>
        <w:rPr>
          <w:color w:val="auto"/>
          <w:highlight w:val="none"/>
        </w:rPr>
        <w:fldChar w:fldCharType="begin"/>
      </w:r>
      <w:r>
        <w:rPr>
          <w:color w:val="auto"/>
          <w:highlight w:val="none"/>
        </w:rPr>
        <w:instrText xml:space="preserve"> PAGEREF _Toc15601 \h </w:instrText>
      </w:r>
      <w:r>
        <w:rPr>
          <w:color w:val="auto"/>
          <w:highlight w:val="none"/>
        </w:rPr>
        <w:fldChar w:fldCharType="separate"/>
      </w:r>
      <w:r>
        <w:rPr>
          <w:color w:val="auto"/>
          <w:highlight w:val="none"/>
        </w:rPr>
        <w:t>48</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_Toc416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（四）素质固安“安全明白人”建设工程</w:t>
      </w:r>
      <w:r>
        <w:rPr>
          <w:color w:val="auto"/>
          <w:highlight w:val="none"/>
        </w:rPr>
        <w:tab/>
      </w:r>
      <w:r>
        <w:rPr>
          <w:color w:val="auto"/>
          <w:highlight w:val="none"/>
        </w:rPr>
        <w:fldChar w:fldCharType="begin"/>
      </w:r>
      <w:r>
        <w:rPr>
          <w:color w:val="auto"/>
          <w:highlight w:val="none"/>
        </w:rPr>
        <w:instrText xml:space="preserve"> PAGEREF _Toc416 \h </w:instrText>
      </w:r>
      <w:r>
        <w:rPr>
          <w:color w:val="auto"/>
          <w:highlight w:val="none"/>
        </w:rPr>
        <w:fldChar w:fldCharType="separate"/>
      </w:r>
      <w:r>
        <w:rPr>
          <w:color w:val="auto"/>
          <w:highlight w:val="none"/>
        </w:rPr>
        <w:t>49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_Toc14464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（五）重点自然灾害精准防治能力提升工程</w:t>
      </w:r>
      <w:r>
        <w:rPr>
          <w:color w:val="auto"/>
          <w:highlight w:val="none"/>
        </w:rPr>
        <w:tab/>
      </w:r>
      <w:r>
        <w:rPr>
          <w:color w:val="auto"/>
          <w:highlight w:val="none"/>
        </w:rPr>
        <w:fldChar w:fldCharType="begin"/>
      </w:r>
      <w:r>
        <w:rPr>
          <w:color w:val="auto"/>
          <w:highlight w:val="none"/>
        </w:rPr>
        <w:instrText xml:space="preserve"> PAGEREF _Toc14464 \h </w:instrText>
      </w:r>
      <w:r>
        <w:rPr>
          <w:color w:val="auto"/>
          <w:highlight w:val="none"/>
        </w:rPr>
        <w:fldChar w:fldCharType="separate"/>
      </w:r>
      <w:r>
        <w:rPr>
          <w:color w:val="auto"/>
          <w:highlight w:val="none"/>
        </w:rPr>
        <w:t>49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_Toc4235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（六）应急救援能力提升重点工程</w:t>
      </w:r>
      <w:r>
        <w:rPr>
          <w:color w:val="auto"/>
          <w:highlight w:val="none"/>
        </w:rPr>
        <w:tab/>
      </w:r>
      <w:r>
        <w:rPr>
          <w:color w:val="auto"/>
          <w:highlight w:val="none"/>
        </w:rPr>
        <w:fldChar w:fldCharType="begin"/>
      </w:r>
      <w:r>
        <w:rPr>
          <w:color w:val="auto"/>
          <w:highlight w:val="none"/>
        </w:rPr>
        <w:instrText xml:space="preserve"> PAGEREF _Toc4235 \h </w:instrText>
      </w:r>
      <w:r>
        <w:rPr>
          <w:color w:val="auto"/>
          <w:highlight w:val="none"/>
        </w:rPr>
        <w:fldChar w:fldCharType="separate"/>
      </w:r>
      <w:r>
        <w:rPr>
          <w:color w:val="auto"/>
          <w:highlight w:val="none"/>
        </w:rPr>
        <w:t>49</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_Toc12309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（七）“本土专家库”建设工程</w:t>
      </w:r>
      <w:r>
        <w:rPr>
          <w:color w:val="auto"/>
          <w:highlight w:val="none"/>
        </w:rPr>
        <w:tab/>
      </w:r>
      <w:r>
        <w:rPr>
          <w:color w:val="auto"/>
          <w:highlight w:val="none"/>
        </w:rPr>
        <w:fldChar w:fldCharType="begin"/>
      </w:r>
      <w:r>
        <w:rPr>
          <w:color w:val="auto"/>
          <w:highlight w:val="none"/>
        </w:rPr>
        <w:instrText xml:space="preserve"> PAGEREF _Toc12309 \h </w:instrText>
      </w:r>
      <w:r>
        <w:rPr>
          <w:color w:val="auto"/>
          <w:highlight w:val="none"/>
        </w:rPr>
        <w:fldChar w:fldCharType="separate"/>
      </w:r>
      <w:r>
        <w:rPr>
          <w:color w:val="auto"/>
          <w:highlight w:val="none"/>
        </w:rPr>
        <w:t>50</w:t>
      </w:r>
      <w:r>
        <w:rPr>
          <w:color w:val="auto"/>
          <w:highlight w:val="none"/>
        </w:rPr>
        <w:fldChar w:fldCharType="end"/>
      </w:r>
      <w:r>
        <w:rPr>
          <w:color w:val="auto"/>
          <w:szCs w:val="32"/>
          <w:highlight w:val="none"/>
        </w:rPr>
        <w:fldChar w:fldCharType="end"/>
      </w:r>
    </w:p>
    <w:p>
      <w:pPr>
        <w:pStyle w:val="19"/>
        <w:keepNext w:val="0"/>
        <w:keepLines w:val="0"/>
        <w:pageBreakBefore w:val="0"/>
        <w:widowControl w:val="0"/>
        <w:tabs>
          <w:tab w:val="right" w:leader="dot" w:pos="8734"/>
          <w:tab w:val="clear" w:pos="872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_Toc16737 </w:instrText>
      </w:r>
      <w:r>
        <w:rPr>
          <w:color w:val="auto"/>
          <w:szCs w:val="32"/>
          <w:highlight w:val="none"/>
        </w:rPr>
        <w:fldChar w:fldCharType="separate"/>
      </w:r>
      <w:r>
        <w:rPr>
          <w:rFonts w:hint="eastAsia" w:ascii="方正黑体简体" w:hAnsi="方正黑体简体" w:eastAsia="方正黑体简体" w:cs="方正黑体简体"/>
          <w:bCs/>
          <w:color w:val="auto"/>
          <w:szCs w:val="32"/>
          <w:highlight w:val="none"/>
        </w:rPr>
        <w:t>第十八章 实施保障</w:t>
      </w:r>
      <w:r>
        <w:rPr>
          <w:color w:val="auto"/>
          <w:highlight w:val="none"/>
        </w:rPr>
        <w:tab/>
      </w:r>
      <w:r>
        <w:rPr>
          <w:color w:val="auto"/>
          <w:highlight w:val="none"/>
        </w:rPr>
        <w:fldChar w:fldCharType="begin"/>
      </w:r>
      <w:r>
        <w:rPr>
          <w:color w:val="auto"/>
          <w:highlight w:val="none"/>
        </w:rPr>
        <w:instrText xml:space="preserve"> PAGEREF _Toc16737 \h </w:instrText>
      </w:r>
      <w:r>
        <w:rPr>
          <w:color w:val="auto"/>
          <w:highlight w:val="none"/>
        </w:rPr>
        <w:fldChar w:fldCharType="separate"/>
      </w:r>
      <w:r>
        <w:rPr>
          <w:color w:val="auto"/>
          <w:highlight w:val="none"/>
        </w:rPr>
        <w:t>51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_Toc18676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（一）加强组织领导</w:t>
      </w:r>
      <w:r>
        <w:rPr>
          <w:color w:val="auto"/>
          <w:highlight w:val="none"/>
        </w:rPr>
        <w:tab/>
      </w:r>
      <w:r>
        <w:rPr>
          <w:color w:val="auto"/>
          <w:highlight w:val="none"/>
        </w:rPr>
        <w:fldChar w:fldCharType="begin"/>
      </w:r>
      <w:r>
        <w:rPr>
          <w:color w:val="auto"/>
          <w:highlight w:val="none"/>
        </w:rPr>
        <w:instrText xml:space="preserve"> PAGEREF _Toc18676 \h </w:instrText>
      </w:r>
      <w:r>
        <w:rPr>
          <w:color w:val="auto"/>
          <w:highlight w:val="none"/>
        </w:rPr>
        <w:fldChar w:fldCharType="separate"/>
      </w:r>
      <w:r>
        <w:rPr>
          <w:color w:val="auto"/>
          <w:highlight w:val="none"/>
        </w:rPr>
        <w:t>51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_Toc7756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（二）健全实施机制</w:t>
      </w:r>
      <w:r>
        <w:rPr>
          <w:color w:val="auto"/>
          <w:highlight w:val="none"/>
        </w:rPr>
        <w:tab/>
      </w:r>
      <w:r>
        <w:rPr>
          <w:color w:val="auto"/>
          <w:highlight w:val="none"/>
        </w:rPr>
        <w:fldChar w:fldCharType="begin"/>
      </w:r>
      <w:r>
        <w:rPr>
          <w:color w:val="auto"/>
          <w:highlight w:val="none"/>
        </w:rPr>
        <w:instrText xml:space="preserve"> PAGEREF _Toc7756 \h </w:instrText>
      </w:r>
      <w:r>
        <w:rPr>
          <w:color w:val="auto"/>
          <w:highlight w:val="none"/>
        </w:rPr>
        <w:fldChar w:fldCharType="separate"/>
      </w:r>
      <w:r>
        <w:rPr>
          <w:color w:val="auto"/>
          <w:highlight w:val="none"/>
        </w:rPr>
        <w:t>51</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_Toc16063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（三）加强要素保障</w:t>
      </w:r>
      <w:r>
        <w:rPr>
          <w:color w:val="auto"/>
          <w:highlight w:val="none"/>
        </w:rPr>
        <w:tab/>
      </w:r>
      <w:r>
        <w:rPr>
          <w:color w:val="auto"/>
          <w:highlight w:val="none"/>
        </w:rPr>
        <w:fldChar w:fldCharType="begin"/>
      </w:r>
      <w:r>
        <w:rPr>
          <w:color w:val="auto"/>
          <w:highlight w:val="none"/>
        </w:rPr>
        <w:instrText xml:space="preserve"> PAGEREF _Toc16063 \h </w:instrText>
      </w:r>
      <w:r>
        <w:rPr>
          <w:color w:val="auto"/>
          <w:highlight w:val="none"/>
        </w:rPr>
        <w:fldChar w:fldCharType="separate"/>
      </w:r>
      <w:r>
        <w:rPr>
          <w:color w:val="auto"/>
          <w:highlight w:val="none"/>
        </w:rPr>
        <w:t>52</w:t>
      </w:r>
      <w:r>
        <w:rPr>
          <w:color w:val="auto"/>
          <w:highlight w:val="none"/>
        </w:rPr>
        <w:fldChar w:fldCharType="end"/>
      </w:r>
      <w:r>
        <w:rPr>
          <w:color w:val="auto"/>
          <w:szCs w:val="32"/>
          <w:highlight w:val="none"/>
        </w:rPr>
        <w:fldChar w:fldCharType="end"/>
      </w:r>
    </w:p>
    <w:p>
      <w:pPr>
        <w:pStyle w:val="23"/>
        <w:keepNext w:val="0"/>
        <w:keepLines w:val="0"/>
        <w:pageBreakBefore w:val="0"/>
        <w:widowControl w:val="0"/>
        <w:tabs>
          <w:tab w:val="right" w:leader="dot" w:pos="8734"/>
        </w:tabs>
        <w:kinsoku/>
        <w:wordWrap/>
        <w:overflowPunct/>
        <w:topLinePunct w:val="0"/>
        <w:autoSpaceDE/>
        <w:autoSpaceDN/>
        <w:bidi w:val="0"/>
        <w:adjustRightInd/>
        <w:snapToGrid/>
        <w:spacing w:after="0"/>
        <w:textAlignment w:val="auto"/>
        <w:rPr>
          <w:color w:val="auto"/>
          <w:highlight w:val="none"/>
        </w:rPr>
      </w:pPr>
      <w:r>
        <w:rPr>
          <w:color w:val="auto"/>
          <w:szCs w:val="32"/>
          <w:highlight w:val="none"/>
        </w:rPr>
        <w:fldChar w:fldCharType="begin"/>
      </w:r>
      <w:r>
        <w:rPr>
          <w:color w:val="auto"/>
          <w:szCs w:val="32"/>
          <w:highlight w:val="none"/>
        </w:rPr>
        <w:instrText xml:space="preserve"> HYPERLINK \l _Toc3554 </w:instrText>
      </w:r>
      <w:r>
        <w:rPr>
          <w:color w:val="auto"/>
          <w:szCs w:val="32"/>
          <w:highlight w:val="none"/>
        </w:rPr>
        <w:fldChar w:fldCharType="separate"/>
      </w:r>
      <w:r>
        <w:rPr>
          <w:rFonts w:hint="eastAsia" w:ascii="方正楷体简体" w:hAnsi="方正楷体简体" w:eastAsia="方正楷体简体" w:cs="方正楷体简体"/>
          <w:color w:val="auto"/>
          <w:highlight w:val="none"/>
        </w:rPr>
        <w:t>（四）强化监测评估</w:t>
      </w:r>
      <w:r>
        <w:rPr>
          <w:color w:val="auto"/>
          <w:highlight w:val="none"/>
        </w:rPr>
        <w:tab/>
      </w:r>
      <w:r>
        <w:rPr>
          <w:color w:val="auto"/>
          <w:highlight w:val="none"/>
        </w:rPr>
        <w:fldChar w:fldCharType="begin"/>
      </w:r>
      <w:r>
        <w:rPr>
          <w:color w:val="auto"/>
          <w:highlight w:val="none"/>
        </w:rPr>
        <w:instrText xml:space="preserve"> PAGEREF _Toc3554 \h </w:instrText>
      </w:r>
      <w:r>
        <w:rPr>
          <w:color w:val="auto"/>
          <w:highlight w:val="none"/>
        </w:rPr>
        <w:fldChar w:fldCharType="separate"/>
      </w:r>
      <w:r>
        <w:rPr>
          <w:color w:val="auto"/>
          <w:highlight w:val="none"/>
        </w:rPr>
        <w:t>52</w:t>
      </w:r>
      <w:r>
        <w:rPr>
          <w:color w:val="auto"/>
          <w:highlight w:val="none"/>
        </w:rPr>
        <w:fldChar w:fldCharType="end"/>
      </w:r>
      <w:r>
        <w:rPr>
          <w:color w:val="auto"/>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color w:val="auto"/>
          <w:szCs w:val="32"/>
          <w:highlight w:val="none"/>
        </w:rPr>
      </w:pPr>
      <w:r>
        <w:rPr>
          <w:color w:val="auto"/>
          <w:szCs w:val="32"/>
          <w:highlight w:val="none"/>
        </w:rPr>
        <w:fldChar w:fldCharType="end"/>
      </w: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仿宋简体" w:hAnsi="方正仿宋简体" w:eastAsia="方正仿宋简体" w:cs="方正仿宋简体"/>
          <w:b/>
          <w:bCs/>
          <w:color w:val="auto"/>
          <w:sz w:val="32"/>
          <w:szCs w:val="32"/>
          <w:highlight w:val="none"/>
        </w:rPr>
      </w:pP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仿宋简体" w:hAnsi="方正仿宋简体" w:eastAsia="方正仿宋简体" w:cs="方正仿宋简体"/>
          <w:b/>
          <w:bCs/>
          <w:color w:val="auto"/>
          <w:sz w:val="32"/>
          <w:szCs w:val="32"/>
          <w:highlight w:val="none"/>
        </w:rPr>
      </w:pP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前     言</w:t>
      </w: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r>
        <w:rPr>
          <w:rFonts w:eastAsia="方正仿宋简体"/>
          <w:color w:val="auto"/>
          <w:sz w:val="32"/>
          <w:szCs w:val="32"/>
          <w:highlight w:val="none"/>
        </w:rPr>
        <w:t>为深入贯彻</w:t>
      </w:r>
      <w:r>
        <w:rPr>
          <w:rFonts w:hint="eastAsia" w:eastAsia="方正仿宋简体"/>
          <w:color w:val="auto"/>
          <w:sz w:val="32"/>
          <w:szCs w:val="32"/>
          <w:highlight w:val="none"/>
        </w:rPr>
        <w:t>习近平</w:t>
      </w:r>
      <w:r>
        <w:rPr>
          <w:rFonts w:eastAsia="方正仿宋简体"/>
          <w:color w:val="auto"/>
          <w:sz w:val="32"/>
          <w:szCs w:val="32"/>
          <w:highlight w:val="none"/>
        </w:rPr>
        <w:t>总书记关于应急管理、安全生产、防灾减灾救灾的重要论述精神，全面落实党中央、国务院、山东省和济宁市委市</w:t>
      </w:r>
      <w:r>
        <w:rPr>
          <w:rFonts w:hint="eastAsia" w:eastAsia="方正仿宋简体"/>
          <w:color w:val="auto"/>
          <w:sz w:val="32"/>
          <w:szCs w:val="32"/>
          <w:highlight w:val="none"/>
        </w:rPr>
        <w:t>人民</w:t>
      </w:r>
      <w:r>
        <w:rPr>
          <w:rFonts w:eastAsia="方正仿宋简体"/>
          <w:color w:val="auto"/>
          <w:sz w:val="32"/>
          <w:szCs w:val="32"/>
          <w:highlight w:val="none"/>
        </w:rPr>
        <w:t>政府关于加强应急管理体系建设决策部署，着力推进我市应急管理体系和能力现代化进程，依据《中华人民共和国突发事件应对法》《中华人民共和国安全生产法》《中华人民共和国防震减灾法》《中共中央国务院关于推进安全生产领域改革发展的意见》《中共中央国务院关于推进防灾减灾救灾体制机制改革的意见》《关于进一步提升基层应急管理能力的意见》《</w:t>
      </w:r>
      <w:r>
        <w:rPr>
          <w:rFonts w:hint="eastAsia" w:eastAsia="方正仿宋简体"/>
          <w:color w:val="auto"/>
          <w:sz w:val="32"/>
          <w:szCs w:val="32"/>
          <w:highlight w:val="none"/>
        </w:rPr>
        <w:t>山东省国民经济和社会发展第十五个五年规划纲要</w:t>
      </w:r>
      <w:r>
        <w:rPr>
          <w:rFonts w:eastAsia="方正仿宋简体"/>
          <w:color w:val="auto"/>
          <w:sz w:val="32"/>
          <w:szCs w:val="32"/>
          <w:highlight w:val="none"/>
        </w:rPr>
        <w:t>》《山东省重大突发事件应急保障体系建设规划（2020—2030年）》和《济宁市国民经济和社会发展第十五个五年规划纲要》等规定，制定本规划。</w:t>
      </w: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仿宋简体" w:hAnsi="方正仿宋简体" w:eastAsia="方正仿宋简体" w:cs="方正仿宋简体"/>
          <w:color w:val="auto"/>
          <w:sz w:val="32"/>
          <w:szCs w:val="32"/>
          <w:highlight w:val="none"/>
        </w:rPr>
      </w:pPr>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color w:val="auto"/>
          <w:szCs w:val="32"/>
          <w:highlight w:val="none"/>
        </w:rPr>
      </w:pPr>
      <w:bookmarkStart w:id="0" w:name="_Toc212236713"/>
      <w:bookmarkStart w:id="1" w:name="_Toc23640"/>
      <w:r>
        <w:rPr>
          <w:rFonts w:hint="eastAsia" w:ascii="方正黑体简体" w:hAnsi="方正黑体简体" w:eastAsia="方正黑体简体" w:cs="方正黑体简体"/>
          <w:b/>
          <w:bCs/>
          <w:color w:val="auto"/>
          <w:szCs w:val="32"/>
          <w:highlight w:val="none"/>
        </w:rPr>
        <w:t>第一章  “十四五”规划工作成效</w:t>
      </w:r>
      <w:bookmarkEnd w:id="0"/>
      <w:bookmarkEnd w:id="1"/>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r>
        <w:rPr>
          <w:rFonts w:hint="eastAsia" w:eastAsia="方正仿宋简体"/>
          <w:color w:val="auto"/>
          <w:sz w:val="32"/>
          <w:szCs w:val="32"/>
          <w:highlight w:val="none"/>
        </w:rPr>
        <w:t>“</w:t>
      </w:r>
      <w:r>
        <w:rPr>
          <w:rFonts w:eastAsia="方正仿宋简体"/>
          <w:color w:val="auto"/>
          <w:sz w:val="32"/>
          <w:szCs w:val="32"/>
          <w:highlight w:val="none"/>
        </w:rPr>
        <w:t>十四五</w:t>
      </w:r>
      <w:r>
        <w:rPr>
          <w:rFonts w:hint="eastAsia" w:eastAsia="方正仿宋简体"/>
          <w:color w:val="auto"/>
          <w:sz w:val="32"/>
          <w:szCs w:val="32"/>
          <w:highlight w:val="none"/>
        </w:rPr>
        <w:t>”</w:t>
      </w:r>
      <w:r>
        <w:rPr>
          <w:rFonts w:eastAsia="方正仿宋简体"/>
          <w:color w:val="auto"/>
          <w:sz w:val="32"/>
          <w:szCs w:val="32"/>
          <w:highlight w:val="none"/>
        </w:rPr>
        <w:t>规划实施以来，我市各级党委</w:t>
      </w:r>
      <w:r>
        <w:rPr>
          <w:rFonts w:hint="eastAsia" w:eastAsia="方正仿宋简体"/>
          <w:color w:val="auto"/>
          <w:sz w:val="32"/>
          <w:szCs w:val="32"/>
          <w:highlight w:val="none"/>
        </w:rPr>
        <w:t>和人民</w:t>
      </w:r>
      <w:r>
        <w:rPr>
          <w:rFonts w:eastAsia="方正仿宋简体"/>
          <w:color w:val="auto"/>
          <w:sz w:val="32"/>
          <w:szCs w:val="32"/>
          <w:highlight w:val="none"/>
        </w:rPr>
        <w:t>政府认真贯彻执行党中央、国务院和省委、省</w:t>
      </w:r>
      <w:r>
        <w:rPr>
          <w:rFonts w:hint="eastAsia" w:eastAsia="方正仿宋简体"/>
          <w:color w:val="auto"/>
          <w:sz w:val="32"/>
          <w:szCs w:val="32"/>
          <w:highlight w:val="none"/>
        </w:rPr>
        <w:t>人民</w:t>
      </w:r>
      <w:r>
        <w:rPr>
          <w:rFonts w:eastAsia="方正仿宋简体"/>
          <w:color w:val="auto"/>
          <w:sz w:val="32"/>
          <w:szCs w:val="32"/>
          <w:highlight w:val="none"/>
        </w:rPr>
        <w:t>政府应急管理工作决策部署，坚持</w:t>
      </w:r>
      <w:r>
        <w:rPr>
          <w:rFonts w:hint="eastAsia" w:eastAsia="方正仿宋简体"/>
          <w:color w:val="auto"/>
          <w:sz w:val="32"/>
          <w:szCs w:val="32"/>
          <w:highlight w:val="none"/>
        </w:rPr>
        <w:t>“</w:t>
      </w:r>
      <w:r>
        <w:rPr>
          <w:rFonts w:eastAsia="方正仿宋简体"/>
          <w:color w:val="auto"/>
          <w:sz w:val="32"/>
          <w:szCs w:val="32"/>
          <w:highlight w:val="none"/>
        </w:rPr>
        <w:t>人民至上、生命至上</w:t>
      </w:r>
      <w:r>
        <w:rPr>
          <w:rFonts w:hint="eastAsia" w:eastAsia="方正仿宋简体"/>
          <w:color w:val="auto"/>
          <w:sz w:val="32"/>
          <w:szCs w:val="32"/>
          <w:highlight w:val="none"/>
        </w:rPr>
        <w:t>”</w:t>
      </w:r>
      <w:r>
        <w:rPr>
          <w:rFonts w:eastAsia="方正仿宋简体"/>
          <w:color w:val="auto"/>
          <w:sz w:val="32"/>
          <w:szCs w:val="32"/>
          <w:highlight w:val="none"/>
        </w:rPr>
        <w:t>，建立大安全大应急框架，积极推进应急管理体系和能力现代化建设，全力防范化解重大风险，科学应对事故灾害，全市安全生产和灾害防治形势持续稳定向好，</w:t>
      </w:r>
      <w:r>
        <w:rPr>
          <w:rFonts w:hint="eastAsia" w:eastAsia="方正仿宋简体"/>
          <w:color w:val="auto"/>
          <w:sz w:val="32"/>
          <w:szCs w:val="32"/>
          <w:highlight w:val="none"/>
        </w:rPr>
        <w:t>为</w:t>
      </w:r>
      <w:r>
        <w:rPr>
          <w:rFonts w:eastAsia="方正仿宋简体"/>
          <w:color w:val="auto"/>
          <w:sz w:val="32"/>
          <w:szCs w:val="32"/>
          <w:highlight w:val="none"/>
        </w:rPr>
        <w:t>经济社会高质量发展创造良好安全环境。</w:t>
      </w:r>
      <w:r>
        <w:rPr>
          <w:rFonts w:hint="eastAsia" w:eastAsia="方正仿宋简体"/>
          <w:color w:val="auto"/>
          <w:sz w:val="32"/>
          <w:szCs w:val="32"/>
          <w:highlight w:val="none"/>
        </w:rPr>
        <w:t>市应急管理局荣获“全国应急管理系统先进集体”称号，连续多年在全市综合考核中获评“优秀”等次。</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2" w:name="_Toc212236714"/>
      <w:bookmarkStart w:id="3" w:name="_Toc224325881"/>
      <w:bookmarkStart w:id="4" w:name="_Toc212236718"/>
      <w:bookmarkStart w:id="5" w:name="_Toc21658"/>
      <w:r>
        <w:rPr>
          <w:rFonts w:hint="eastAsia" w:ascii="方正楷体简体" w:hAnsi="方正楷体简体" w:eastAsia="方正楷体简体" w:cs="方正楷体简体"/>
          <w:color w:val="auto"/>
          <w:sz w:val="32"/>
          <w:highlight w:val="none"/>
        </w:rPr>
        <w:t>（一）应急管理制度建设成效显著</w:t>
      </w:r>
      <w:bookmarkEnd w:id="2"/>
      <w:bookmarkEnd w:id="3"/>
    </w:p>
    <w:p>
      <w:pPr>
        <w:pStyle w:val="13"/>
        <w:keepNext w:val="0"/>
        <w:keepLines w:val="0"/>
        <w:pageBreakBefore w:val="0"/>
        <w:widowControl w:val="0"/>
        <w:kinsoku/>
        <w:wordWrap/>
        <w:overflowPunct/>
        <w:topLinePunct w:val="0"/>
        <w:autoSpaceDE/>
        <w:autoSpaceDN/>
        <w:bidi w:val="0"/>
        <w:snapToGrid/>
        <w:spacing w:before="0" w:after="0" w:line="578" w:lineRule="exact"/>
        <w:ind w:left="0" w:leftChars="0" w:firstLine="640" w:firstLineChars="200"/>
        <w:textAlignment w:val="auto"/>
        <w:rPr>
          <w:rFonts w:eastAsia="方正仿宋简体"/>
          <w:strike/>
          <w:dstrike w:val="0"/>
          <w:color w:val="auto"/>
          <w:sz w:val="32"/>
          <w:szCs w:val="32"/>
          <w:highlight w:val="none"/>
        </w:rPr>
      </w:pPr>
      <w:r>
        <w:rPr>
          <w:rFonts w:eastAsia="方正仿宋简体"/>
          <w:color w:val="auto"/>
          <w:sz w:val="32"/>
          <w:szCs w:val="32"/>
          <w:highlight w:val="none"/>
        </w:rPr>
        <w:t>建立健全应急管理体制，各级政府和相关部门权界清晰、职责分工明确、责任落实到位，工作合力进一步加强。</w:t>
      </w:r>
      <w:r>
        <w:rPr>
          <w:rFonts w:hint="eastAsia" w:eastAsia="方正仿宋简体"/>
          <w:strike w:val="0"/>
          <w:dstrike w:val="0"/>
          <w:color w:val="auto"/>
          <w:sz w:val="32"/>
          <w:szCs w:val="32"/>
          <w:highlight w:val="none"/>
        </w:rPr>
        <w:t>市委、市人民政府整合设立市防灾减灾救灾委员会（市安全生产委员会），作为市人民政府议事协调机构，划入市委防灾减灾救灾领导小组、市安全生产委员会、市消防安全委员会、市应急物资保障领导小组职责</w:t>
      </w:r>
      <w:r>
        <w:rPr>
          <w:rFonts w:hint="eastAsia" w:eastAsia="方正仿宋简体"/>
          <w:color w:val="auto"/>
          <w:sz w:val="32"/>
          <w:szCs w:val="32"/>
          <w:highlight w:val="none"/>
        </w:rPr>
        <w:t>，构建“全灾种、大应急”的“1+N”工作格局</w:t>
      </w:r>
      <w:r>
        <w:rPr>
          <w:rFonts w:hint="eastAsia" w:eastAsia="方正仿宋简体"/>
          <w:color w:val="auto"/>
          <w:sz w:val="32"/>
          <w:szCs w:val="32"/>
          <w:highlight w:val="none"/>
          <w:lang w:eastAsia="zh-CN"/>
        </w:rPr>
        <w:t>。</w:t>
      </w:r>
      <w:bookmarkStart w:id="6" w:name="_Toc212236715"/>
      <w:bookmarkStart w:id="7" w:name="_Toc224325882"/>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hint="eastAsia" w:ascii="方正楷体简体" w:hAnsi="方正楷体简体" w:eastAsia="方正楷体简体" w:cs="方正楷体简体"/>
          <w:b/>
          <w:color w:val="auto"/>
          <w:kern w:val="2"/>
          <w:sz w:val="32"/>
          <w:szCs w:val="32"/>
          <w:highlight w:val="none"/>
          <w:lang w:val="en-US" w:eastAsia="zh-CN" w:bidi="ar-SA"/>
        </w:rPr>
      </w:pPr>
      <w:r>
        <w:rPr>
          <w:rFonts w:hint="eastAsia" w:ascii="方正楷体简体" w:hAnsi="方正楷体简体" w:eastAsia="方正楷体简体" w:cs="方正楷体简体"/>
          <w:b/>
          <w:color w:val="auto"/>
          <w:kern w:val="2"/>
          <w:sz w:val="32"/>
          <w:szCs w:val="32"/>
          <w:highlight w:val="none"/>
          <w:lang w:val="en-US" w:eastAsia="zh-CN" w:bidi="ar-SA"/>
        </w:rPr>
        <w:t>（二）安全生产风险形势持续向好</w:t>
      </w:r>
      <w:bookmarkEnd w:id="6"/>
      <w:bookmarkEnd w:id="7"/>
    </w:p>
    <w:p>
      <w:pPr>
        <w:pStyle w:val="13"/>
        <w:keepNext w:val="0"/>
        <w:keepLines w:val="0"/>
        <w:pageBreakBefore w:val="0"/>
        <w:widowControl w:val="0"/>
        <w:kinsoku/>
        <w:wordWrap/>
        <w:overflowPunct/>
        <w:topLinePunct w:val="0"/>
        <w:autoSpaceDE/>
        <w:autoSpaceDN/>
        <w:bidi w:val="0"/>
        <w:snapToGrid/>
        <w:spacing w:before="0" w:after="0" w:line="578" w:lineRule="exact"/>
        <w:textAlignment w:val="auto"/>
        <w:rPr>
          <w:rFonts w:eastAsia="方正仿宋简体"/>
          <w:strike/>
          <w:dstrike w:val="0"/>
          <w:color w:val="auto"/>
          <w:sz w:val="32"/>
          <w:szCs w:val="32"/>
          <w:highlight w:val="none"/>
        </w:rPr>
      </w:pPr>
      <w:r>
        <w:rPr>
          <w:rFonts w:eastAsia="方正仿宋简体"/>
          <w:color w:val="auto"/>
          <w:sz w:val="32"/>
          <w:szCs w:val="32"/>
          <w:highlight w:val="none"/>
        </w:rPr>
        <w:t>坚持</w:t>
      </w:r>
      <w:r>
        <w:rPr>
          <w:rFonts w:hint="eastAsia" w:eastAsia="方正仿宋简体"/>
          <w:color w:val="auto"/>
          <w:sz w:val="32"/>
          <w:szCs w:val="32"/>
          <w:highlight w:val="none"/>
        </w:rPr>
        <w:t>“</w:t>
      </w:r>
      <w:r>
        <w:rPr>
          <w:rFonts w:eastAsia="方正仿宋简体"/>
          <w:color w:val="auto"/>
          <w:sz w:val="32"/>
          <w:szCs w:val="32"/>
          <w:highlight w:val="none"/>
        </w:rPr>
        <w:t>人民至上、生命至上</w:t>
      </w:r>
      <w:r>
        <w:rPr>
          <w:rFonts w:hint="eastAsia" w:eastAsia="方正仿宋简体"/>
          <w:color w:val="auto"/>
          <w:sz w:val="32"/>
          <w:szCs w:val="32"/>
          <w:highlight w:val="none"/>
        </w:rPr>
        <w:t>”</w:t>
      </w:r>
      <w:r>
        <w:rPr>
          <w:rFonts w:eastAsia="方正仿宋简体"/>
          <w:color w:val="auto"/>
          <w:sz w:val="32"/>
          <w:szCs w:val="32"/>
          <w:highlight w:val="none"/>
        </w:rPr>
        <w:t>安全发展理念，</w:t>
      </w:r>
      <w:r>
        <w:rPr>
          <w:rFonts w:hint="eastAsia" w:eastAsia="方正仿宋简体"/>
          <w:color w:val="auto"/>
          <w:sz w:val="32"/>
          <w:szCs w:val="32"/>
          <w:highlight w:val="none"/>
        </w:rPr>
        <w:t>压紧压实安全生产责任，创新制定“六张清单一张表”，厘清新兴行业领域监管职责。以治本攻坚三年行动为抓手，开展“次次考、月月述、场场问”，创新“本土专家”、安全“明白人”培育机制，实行监管、巡查、督导、执法联动机制</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建立实施举报奖励、安全巡查、安全总监等系列工作机制，创新推行企业ABC分类差异化监管模式，大力推进“互联网+监管执法”。</w:t>
      </w:r>
      <w:r>
        <w:rPr>
          <w:rFonts w:eastAsia="方正仿宋简体"/>
          <w:color w:val="auto"/>
          <w:sz w:val="32"/>
          <w:szCs w:val="32"/>
          <w:highlight w:val="none"/>
        </w:rPr>
        <w:t>严格安全准入，推进高危企业“退城进园”，推动企业设立安全管理机构、落实“五到位”。</w:t>
      </w:r>
      <w:r>
        <w:rPr>
          <w:rFonts w:hint="eastAsia" w:eastAsia="方正仿宋简体"/>
          <w:color w:val="auto"/>
          <w:sz w:val="32"/>
          <w:szCs w:val="32"/>
          <w:highlight w:val="none"/>
        </w:rPr>
        <w:t>与“十三五”期末相比</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各类生产安全事故死亡人数下降</w:t>
      </w:r>
      <w:r>
        <w:rPr>
          <w:rFonts w:hint="eastAsia" w:eastAsia="方正仿宋简体"/>
          <w:color w:val="auto"/>
          <w:sz w:val="32"/>
          <w:szCs w:val="32"/>
          <w:highlight w:val="none"/>
          <w:lang w:val="en-US" w:eastAsia="zh-CN"/>
        </w:rPr>
        <w:t>41.76</w:t>
      </w:r>
      <w:r>
        <w:rPr>
          <w:rFonts w:hint="eastAsia" w:eastAsia="方正仿宋简体"/>
          <w:color w:val="auto"/>
          <w:sz w:val="32"/>
          <w:szCs w:val="32"/>
          <w:highlight w:val="none"/>
        </w:rPr>
        <w:t>%</w:t>
      </w:r>
      <w:r>
        <w:rPr>
          <w:rFonts w:hint="eastAsia" w:eastAsia="方正仿宋简体"/>
          <w:strike w:val="0"/>
          <w:dstrike w:val="0"/>
          <w:color w:val="auto"/>
          <w:sz w:val="32"/>
          <w:szCs w:val="32"/>
          <w:highlight w:val="none"/>
        </w:rPr>
        <w:t>，未发生重大及以上生产安全事故</w:t>
      </w:r>
      <w:r>
        <w:rPr>
          <w:rFonts w:hint="eastAsia" w:eastAsia="方正仿宋简体"/>
          <w:strike w:val="0"/>
          <w:dstrike w:val="0"/>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 w:name="_Toc224325883"/>
      <w:bookmarkStart w:id="9" w:name="_Toc212236716"/>
      <w:r>
        <w:rPr>
          <w:rFonts w:hint="eastAsia" w:ascii="方正楷体简体" w:hAnsi="方正楷体简体" w:eastAsia="方正楷体简体" w:cs="方正楷体简体"/>
          <w:color w:val="auto"/>
          <w:sz w:val="32"/>
          <w:highlight w:val="none"/>
        </w:rPr>
        <w:t>（三）防灾减灾救灾能力明显增强</w:t>
      </w:r>
      <w:bookmarkEnd w:id="8"/>
      <w:bookmarkEnd w:id="9"/>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r>
        <w:rPr>
          <w:rFonts w:eastAsia="方正仿宋简体"/>
          <w:color w:val="auto"/>
          <w:sz w:val="32"/>
          <w:szCs w:val="32"/>
          <w:highlight w:val="none"/>
        </w:rPr>
        <w:t>印发《济宁市应急管理局突发事件预警信息发布管理办法（试行）》，规范自然灾害、事故灾难类预警信息发布流程，明确发布标准与责任。完成第一次全国自然灾害综合风险普查</w:t>
      </w:r>
      <w:r>
        <w:rPr>
          <w:rFonts w:hint="eastAsia" w:eastAsia="方正仿宋简体"/>
          <w:color w:val="auto"/>
          <w:sz w:val="32"/>
          <w:szCs w:val="32"/>
          <w:highlight w:val="none"/>
        </w:rPr>
        <w:t>工作</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推动微山县综合防灾能力建设项目纳入应急部、财政部入库项目清单。</w:t>
      </w:r>
      <w:r>
        <w:rPr>
          <w:rFonts w:eastAsia="方正仿宋简体"/>
          <w:color w:val="auto"/>
          <w:sz w:val="32"/>
          <w:szCs w:val="32"/>
          <w:highlight w:val="none"/>
        </w:rPr>
        <w:t>创建综合减灾示范社区国家级2个</w:t>
      </w:r>
      <w:r>
        <w:rPr>
          <w:rFonts w:hint="eastAsia" w:eastAsia="方正仿宋简体"/>
          <w:color w:val="auto"/>
          <w:sz w:val="32"/>
          <w:szCs w:val="32"/>
          <w:highlight w:val="none"/>
          <w:lang w:eastAsia="zh-CN"/>
        </w:rPr>
        <w:t>、省级</w:t>
      </w:r>
      <w:r>
        <w:rPr>
          <w:rFonts w:hint="eastAsia" w:eastAsia="方正仿宋简体"/>
          <w:color w:val="auto"/>
          <w:sz w:val="32"/>
          <w:szCs w:val="32"/>
          <w:highlight w:val="none"/>
          <w:lang w:val="en-US" w:eastAsia="zh-CN"/>
        </w:rPr>
        <w:t>18个、市级30个，</w:t>
      </w:r>
      <w:r>
        <w:rPr>
          <w:rFonts w:eastAsia="方正仿宋简体"/>
          <w:color w:val="auto"/>
          <w:sz w:val="32"/>
          <w:szCs w:val="32"/>
          <w:highlight w:val="none"/>
        </w:rPr>
        <w:t>省级综合减灾示范县2个</w:t>
      </w:r>
      <w:r>
        <w:rPr>
          <w:rFonts w:hint="eastAsia" w:eastAsia="方正仿宋简体"/>
          <w:color w:val="auto"/>
          <w:sz w:val="32"/>
          <w:szCs w:val="32"/>
          <w:highlight w:val="none"/>
          <w:lang w:eastAsia="zh-CN"/>
        </w:rPr>
        <w:t>，</w:t>
      </w:r>
      <w:r>
        <w:rPr>
          <w:rFonts w:eastAsia="方正仿宋简体"/>
          <w:color w:val="auto"/>
          <w:sz w:val="32"/>
          <w:szCs w:val="32"/>
          <w:highlight w:val="none"/>
        </w:rPr>
        <w:t>健全应急避难场所135处</w:t>
      </w:r>
      <w:r>
        <w:rPr>
          <w:rFonts w:hint="eastAsia" w:eastAsia="方正仿宋简体"/>
          <w:color w:val="auto"/>
          <w:sz w:val="32"/>
          <w:szCs w:val="32"/>
          <w:highlight w:val="none"/>
          <w:lang w:eastAsia="zh-CN"/>
        </w:rPr>
        <w:t>，</w:t>
      </w:r>
      <w:r>
        <w:rPr>
          <w:rFonts w:eastAsia="方正仿宋简体"/>
          <w:color w:val="auto"/>
          <w:sz w:val="32"/>
          <w:szCs w:val="32"/>
          <w:highlight w:val="none"/>
        </w:rPr>
        <w:t>完成东滩、鲍店等煤矿专用地震监测台网建设</w:t>
      </w:r>
      <w:r>
        <w:rPr>
          <w:rFonts w:hint="eastAsia" w:eastAsia="方正仿宋简体"/>
          <w:color w:val="auto"/>
          <w:sz w:val="32"/>
          <w:szCs w:val="32"/>
          <w:highlight w:val="none"/>
          <w:lang w:eastAsia="zh-CN"/>
        </w:rPr>
        <w:t>。建立</w:t>
      </w:r>
      <w:r>
        <w:rPr>
          <w:rFonts w:eastAsia="方正仿宋简体"/>
          <w:color w:val="auto"/>
          <w:sz w:val="32"/>
          <w:szCs w:val="32"/>
          <w:highlight w:val="none"/>
        </w:rPr>
        <w:t>市县乡村四级灾害信息员队伍9983人，实现培训全覆盖。</w:t>
      </w:r>
      <w:r>
        <w:rPr>
          <w:rFonts w:hint="eastAsia" w:eastAsia="方正仿宋简体"/>
          <w:color w:val="auto"/>
          <w:sz w:val="32"/>
          <w:szCs w:val="32"/>
          <w:highlight w:val="none"/>
        </w:rPr>
        <w:t>建立“212”工作机制和应对极端天气工作机制，健全应急叫应机制，成功应对72轮强降雨，</w:t>
      </w:r>
      <w:r>
        <w:rPr>
          <w:rFonts w:hint="eastAsia" w:eastAsia="方正仿宋简体"/>
          <w:color w:val="auto"/>
          <w:sz w:val="32"/>
          <w:szCs w:val="32"/>
          <w:highlight w:val="none"/>
          <w:lang w:eastAsia="zh-CN"/>
        </w:rPr>
        <w:t>全面</w:t>
      </w:r>
      <w:r>
        <w:rPr>
          <w:rFonts w:hint="eastAsia" w:eastAsia="方正仿宋简体"/>
          <w:color w:val="auto"/>
          <w:sz w:val="32"/>
          <w:szCs w:val="32"/>
          <w:highlight w:val="none"/>
        </w:rPr>
        <w:t>提升防汛应急救灾保障能力。</w:t>
      </w:r>
      <w:r>
        <w:rPr>
          <w:rFonts w:eastAsia="方正仿宋简体"/>
          <w:color w:val="auto"/>
          <w:sz w:val="32"/>
          <w:szCs w:val="32"/>
          <w:highlight w:val="none"/>
        </w:rPr>
        <w:t>织密</w:t>
      </w:r>
      <w:r>
        <w:rPr>
          <w:rFonts w:hint="eastAsia" w:eastAsia="方正仿宋简体"/>
          <w:color w:val="auto"/>
          <w:sz w:val="32"/>
          <w:szCs w:val="32"/>
          <w:highlight w:val="none"/>
        </w:rPr>
        <w:t>“</w:t>
      </w:r>
      <w:r>
        <w:rPr>
          <w:rFonts w:eastAsia="方正仿宋简体"/>
          <w:color w:val="auto"/>
          <w:sz w:val="32"/>
          <w:szCs w:val="32"/>
          <w:highlight w:val="none"/>
        </w:rPr>
        <w:t>市、县、镇、村</w:t>
      </w:r>
      <w:r>
        <w:rPr>
          <w:rFonts w:hint="eastAsia" w:eastAsia="方正仿宋简体"/>
          <w:color w:val="auto"/>
          <w:sz w:val="32"/>
          <w:szCs w:val="32"/>
          <w:highlight w:val="none"/>
        </w:rPr>
        <w:t>”</w:t>
      </w:r>
      <w:r>
        <w:rPr>
          <w:rFonts w:eastAsia="方正仿宋简体"/>
          <w:color w:val="auto"/>
          <w:sz w:val="32"/>
          <w:szCs w:val="32"/>
          <w:highlight w:val="none"/>
        </w:rPr>
        <w:t>四级森林防火责任体系，构筑</w:t>
      </w:r>
      <w:r>
        <w:rPr>
          <w:rFonts w:hint="eastAsia" w:eastAsia="方正仿宋简体"/>
          <w:color w:val="auto"/>
          <w:sz w:val="32"/>
          <w:szCs w:val="32"/>
          <w:highlight w:val="none"/>
        </w:rPr>
        <w:t>“</w:t>
      </w:r>
      <w:r>
        <w:rPr>
          <w:rFonts w:eastAsia="方正仿宋简体"/>
          <w:color w:val="auto"/>
          <w:sz w:val="32"/>
          <w:szCs w:val="32"/>
          <w:highlight w:val="none"/>
        </w:rPr>
        <w:t>空天地</w:t>
      </w:r>
      <w:r>
        <w:rPr>
          <w:rFonts w:hint="eastAsia" w:eastAsia="方正仿宋简体"/>
          <w:color w:val="auto"/>
          <w:sz w:val="32"/>
          <w:szCs w:val="32"/>
          <w:highlight w:val="none"/>
        </w:rPr>
        <w:t>”</w:t>
      </w:r>
      <w:r>
        <w:rPr>
          <w:rFonts w:eastAsia="方正仿宋简体"/>
          <w:color w:val="auto"/>
          <w:sz w:val="32"/>
          <w:szCs w:val="32"/>
          <w:highlight w:val="none"/>
        </w:rPr>
        <w:t>立体化森林草原防灭火体系，成功承办2024年全省森林火灾综合应急演练。</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 w:name="_Toc212236717"/>
      <w:bookmarkStart w:id="11" w:name="_Toc224325884"/>
      <w:r>
        <w:rPr>
          <w:rFonts w:hint="eastAsia" w:ascii="方正楷体简体" w:hAnsi="方正楷体简体" w:eastAsia="方正楷体简体" w:cs="方正楷体简体"/>
          <w:color w:val="auto"/>
          <w:sz w:val="32"/>
          <w:highlight w:val="none"/>
        </w:rPr>
        <w:t>（四）应急救援综合水平全面提升</w:t>
      </w:r>
      <w:bookmarkEnd w:id="10"/>
      <w:bookmarkEnd w:id="11"/>
    </w:p>
    <w:p>
      <w:pPr>
        <w:pStyle w:val="13"/>
        <w:keepNext w:val="0"/>
        <w:keepLines w:val="0"/>
        <w:pageBreakBefore w:val="0"/>
        <w:widowControl w:val="0"/>
        <w:kinsoku/>
        <w:wordWrap/>
        <w:overflowPunct/>
        <w:topLinePunct w:val="0"/>
        <w:autoSpaceDE/>
        <w:autoSpaceDN/>
        <w:bidi w:val="0"/>
        <w:snapToGrid/>
        <w:spacing w:before="0" w:after="0" w:line="578" w:lineRule="exact"/>
        <w:textAlignment w:val="auto"/>
        <w:rPr>
          <w:rFonts w:eastAsia="方正仿宋简体"/>
          <w:color w:val="auto"/>
          <w:sz w:val="32"/>
          <w:szCs w:val="32"/>
          <w:highlight w:val="none"/>
        </w:rPr>
      </w:pPr>
      <w:r>
        <w:rPr>
          <w:rFonts w:eastAsia="方正仿宋简体"/>
          <w:color w:val="auto"/>
          <w:sz w:val="32"/>
          <w:szCs w:val="32"/>
          <w:highlight w:val="none"/>
        </w:rPr>
        <w:t>印发《济宁市突发事件现场指挥部工作机制》，建立</w:t>
      </w:r>
      <w:r>
        <w:rPr>
          <w:rFonts w:hint="eastAsia" w:eastAsia="方正仿宋简体"/>
          <w:color w:val="auto"/>
          <w:sz w:val="32"/>
          <w:szCs w:val="32"/>
          <w:highlight w:val="none"/>
        </w:rPr>
        <w:t>“</w:t>
      </w:r>
      <w:r>
        <w:rPr>
          <w:rFonts w:eastAsia="方正仿宋简体"/>
          <w:color w:val="auto"/>
          <w:sz w:val="32"/>
          <w:szCs w:val="32"/>
          <w:highlight w:val="none"/>
        </w:rPr>
        <w:t>六必到</w:t>
      </w:r>
      <w:r>
        <w:rPr>
          <w:rFonts w:hint="eastAsia" w:eastAsia="方正仿宋简体"/>
          <w:color w:val="auto"/>
          <w:sz w:val="32"/>
          <w:szCs w:val="32"/>
          <w:highlight w:val="none"/>
        </w:rPr>
        <w:t>”</w:t>
      </w:r>
      <w:r>
        <w:rPr>
          <w:rFonts w:eastAsia="方正仿宋简体"/>
          <w:color w:val="auto"/>
          <w:sz w:val="32"/>
          <w:szCs w:val="32"/>
          <w:highlight w:val="none"/>
        </w:rPr>
        <w:t>制度和现场指挥运行机制</w:t>
      </w:r>
      <w:r>
        <w:rPr>
          <w:rFonts w:hint="eastAsia" w:eastAsia="方正仿宋简体"/>
          <w:color w:val="auto"/>
          <w:sz w:val="32"/>
          <w:szCs w:val="32"/>
          <w:highlight w:val="none"/>
        </w:rPr>
        <w:t>。</w:t>
      </w:r>
      <w:r>
        <w:rPr>
          <w:rFonts w:eastAsia="方正仿宋简体"/>
          <w:color w:val="auto"/>
          <w:sz w:val="32"/>
          <w:szCs w:val="32"/>
          <w:highlight w:val="none"/>
        </w:rPr>
        <w:t>升级市应急指挥部，实现国家、省、市、县四级应急部门和重点企业互联互通</w:t>
      </w:r>
      <w:r>
        <w:rPr>
          <w:rFonts w:hint="eastAsia" w:eastAsia="方正仿宋简体"/>
          <w:color w:val="auto"/>
          <w:sz w:val="32"/>
          <w:szCs w:val="32"/>
          <w:highlight w:val="none"/>
          <w:lang w:eastAsia="zh-CN"/>
        </w:rPr>
        <w:t>。</w:t>
      </w:r>
      <w:r>
        <w:rPr>
          <w:rFonts w:eastAsia="方正仿宋简体"/>
          <w:color w:val="auto"/>
          <w:sz w:val="32"/>
          <w:szCs w:val="32"/>
          <w:highlight w:val="none"/>
        </w:rPr>
        <w:t>建成市级移动应急指挥平台，配</w:t>
      </w:r>
      <w:r>
        <w:rPr>
          <w:rFonts w:hint="eastAsia" w:eastAsia="方正仿宋简体"/>
          <w:color w:val="auto"/>
          <w:sz w:val="32"/>
          <w:szCs w:val="32"/>
          <w:highlight w:val="none"/>
          <w:lang w:eastAsia="zh-CN"/>
        </w:rPr>
        <w:t>套“</w:t>
      </w:r>
      <w:r>
        <w:rPr>
          <w:rFonts w:eastAsia="方正仿宋简体"/>
          <w:color w:val="auto"/>
          <w:sz w:val="32"/>
          <w:szCs w:val="32"/>
          <w:highlight w:val="none"/>
        </w:rPr>
        <w:t>通信前突车、指挥车、保障车</w:t>
      </w:r>
      <w:r>
        <w:rPr>
          <w:rFonts w:hint="eastAsia" w:eastAsia="方正仿宋简体"/>
          <w:color w:val="auto"/>
          <w:sz w:val="32"/>
          <w:szCs w:val="32"/>
          <w:highlight w:val="none"/>
          <w:lang w:eastAsia="zh-CN"/>
        </w:rPr>
        <w:t>”</w:t>
      </w:r>
      <w:r>
        <w:rPr>
          <w:rFonts w:eastAsia="方正仿宋简体"/>
          <w:color w:val="auto"/>
          <w:sz w:val="32"/>
          <w:szCs w:val="32"/>
          <w:highlight w:val="none"/>
        </w:rPr>
        <w:t>三车编组。编制全省首部地市级基层应急预案管理办法，构建</w:t>
      </w:r>
      <w:r>
        <w:rPr>
          <w:rFonts w:hint="eastAsia" w:eastAsia="方正仿宋简体"/>
          <w:color w:val="auto"/>
          <w:sz w:val="32"/>
          <w:szCs w:val="32"/>
          <w:highlight w:val="none"/>
        </w:rPr>
        <w:t>“</w:t>
      </w:r>
      <w:r>
        <w:rPr>
          <w:rFonts w:eastAsia="方正仿宋简体"/>
          <w:color w:val="auto"/>
          <w:sz w:val="32"/>
          <w:szCs w:val="32"/>
          <w:highlight w:val="none"/>
        </w:rPr>
        <w:t>1+32+N</w:t>
      </w:r>
      <w:r>
        <w:rPr>
          <w:rFonts w:hint="eastAsia" w:eastAsia="方正仿宋简体"/>
          <w:color w:val="auto"/>
          <w:sz w:val="32"/>
          <w:szCs w:val="32"/>
          <w:highlight w:val="none"/>
        </w:rPr>
        <w:t>”</w:t>
      </w:r>
      <w:r>
        <w:rPr>
          <w:rFonts w:eastAsia="方正仿宋简体"/>
          <w:color w:val="auto"/>
          <w:sz w:val="32"/>
          <w:szCs w:val="32"/>
          <w:highlight w:val="none"/>
        </w:rPr>
        <w:t>应急预案体系。</w:t>
      </w:r>
      <w:r>
        <w:rPr>
          <w:rFonts w:hint="eastAsia" w:eastAsia="方正仿宋简体"/>
          <w:color w:val="auto"/>
          <w:sz w:val="32"/>
          <w:szCs w:val="32"/>
          <w:highlight w:val="none"/>
        </w:rPr>
        <w:t>建成专业救援队国家级2支、省级7支、市级7支，</w:t>
      </w:r>
      <w:r>
        <w:rPr>
          <w:rFonts w:hint="eastAsia" w:eastAsia="方正仿宋简体"/>
          <w:color w:val="auto"/>
          <w:sz w:val="32"/>
          <w:szCs w:val="32"/>
          <w:highlight w:val="none"/>
          <w:lang w:eastAsia="zh-CN"/>
        </w:rPr>
        <w:t>其中</w:t>
      </w:r>
      <w:r>
        <w:rPr>
          <w:rFonts w:hint="eastAsia" w:eastAsia="方正仿宋简体"/>
          <w:color w:val="auto"/>
          <w:sz w:val="32"/>
          <w:szCs w:val="32"/>
          <w:highlight w:val="none"/>
        </w:rPr>
        <w:t>省级专业救援队伍数量列全省第2位</w:t>
      </w:r>
      <w:r>
        <w:rPr>
          <w:rFonts w:hint="eastAsia" w:eastAsia="方正仿宋简体"/>
          <w:color w:val="auto"/>
          <w:sz w:val="32"/>
          <w:szCs w:val="32"/>
          <w:highlight w:val="none"/>
          <w:lang w:eastAsia="zh-CN"/>
        </w:rPr>
        <w:t>。成功</w:t>
      </w:r>
      <w:r>
        <w:rPr>
          <w:rFonts w:hint="eastAsia" w:eastAsia="方正仿宋简体"/>
          <w:color w:val="auto"/>
          <w:sz w:val="32"/>
          <w:szCs w:val="32"/>
          <w:highlight w:val="none"/>
        </w:rPr>
        <w:t>承办全国矿山钻探（应急救援）技能竞赛、第十三届全国矿山救援技能竞赛。</w:t>
      </w:r>
      <w:r>
        <w:rPr>
          <w:rFonts w:eastAsia="方正仿宋简体"/>
          <w:color w:val="auto"/>
          <w:sz w:val="32"/>
          <w:szCs w:val="32"/>
          <w:highlight w:val="none"/>
        </w:rPr>
        <w:t>创新实施</w:t>
      </w:r>
      <w:r>
        <w:rPr>
          <w:rFonts w:hint="eastAsia" w:eastAsia="方正仿宋简体"/>
          <w:color w:val="auto"/>
          <w:sz w:val="32"/>
          <w:szCs w:val="32"/>
          <w:highlight w:val="none"/>
          <w:lang w:eastAsia="zh-CN"/>
        </w:rPr>
        <w:t>“</w:t>
      </w:r>
      <w:r>
        <w:rPr>
          <w:rFonts w:eastAsia="方正仿宋简体"/>
          <w:color w:val="auto"/>
          <w:sz w:val="32"/>
          <w:szCs w:val="32"/>
          <w:highlight w:val="none"/>
        </w:rPr>
        <w:t>安全济宁</w:t>
      </w:r>
      <w:r>
        <w:rPr>
          <w:rFonts w:hint="eastAsia" w:eastAsia="方正仿宋简体"/>
          <w:color w:val="auto"/>
          <w:sz w:val="32"/>
          <w:szCs w:val="32"/>
          <w:highlight w:val="none"/>
          <w:lang w:eastAsia="zh-CN"/>
        </w:rPr>
        <w:t>”</w:t>
      </w:r>
      <w:r>
        <w:rPr>
          <w:rFonts w:eastAsia="方正仿宋简体"/>
          <w:color w:val="auto"/>
          <w:sz w:val="32"/>
          <w:szCs w:val="32"/>
          <w:highlight w:val="none"/>
        </w:rPr>
        <w:t>基层应急救援力量建设三年行动，建成基层应急救援站668处</w:t>
      </w:r>
      <w:r>
        <w:rPr>
          <w:rFonts w:hint="eastAsia" w:eastAsia="方正仿宋简体"/>
          <w:color w:val="auto"/>
          <w:sz w:val="32"/>
          <w:szCs w:val="32"/>
          <w:highlight w:val="none"/>
          <w:lang w:eastAsia="zh-CN"/>
        </w:rPr>
        <w:t>。建成</w:t>
      </w:r>
      <w:r>
        <w:rPr>
          <w:rFonts w:eastAsia="方正仿宋简体"/>
          <w:color w:val="auto"/>
          <w:sz w:val="32"/>
          <w:szCs w:val="32"/>
          <w:highlight w:val="none"/>
        </w:rPr>
        <w:t>市级应急救援物资装备综合仓库，应急保障能力显著增强。</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r>
        <w:rPr>
          <w:rFonts w:hint="eastAsia" w:ascii="方正楷体简体" w:hAnsi="方正楷体简体" w:eastAsia="方正楷体简体" w:cs="方正楷体简体"/>
          <w:color w:val="auto"/>
          <w:sz w:val="32"/>
          <w:highlight w:val="none"/>
        </w:rPr>
        <w:t>（五）社会共治机制格局更加巩固</w:t>
      </w:r>
      <w:bookmarkEnd w:id="4"/>
      <w:bookmarkEnd w:id="5"/>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bookmarkStart w:id="12" w:name="_Toc212236719"/>
      <w:r>
        <w:rPr>
          <w:rFonts w:hint="eastAsia" w:eastAsia="方正仿宋简体"/>
          <w:color w:val="auto"/>
          <w:sz w:val="32"/>
          <w:szCs w:val="32"/>
          <w:highlight w:val="none"/>
        </w:rPr>
        <w:t>推进安全生产举报奖励</w:t>
      </w:r>
      <w:r>
        <w:rPr>
          <w:rFonts w:hint="eastAsia" w:eastAsia="方正仿宋简体"/>
          <w:color w:val="auto"/>
          <w:sz w:val="32"/>
          <w:szCs w:val="32"/>
          <w:highlight w:val="none"/>
          <w:lang w:eastAsia="zh-CN"/>
        </w:rPr>
        <w:t>制度和</w:t>
      </w:r>
      <w:r>
        <w:rPr>
          <w:rFonts w:hint="eastAsia" w:eastAsia="方正仿宋简体"/>
          <w:color w:val="auto"/>
          <w:sz w:val="32"/>
          <w:szCs w:val="32"/>
          <w:highlight w:val="none"/>
        </w:rPr>
        <w:t>企业隐患内部报告奖励</w:t>
      </w:r>
      <w:r>
        <w:rPr>
          <w:rFonts w:hint="eastAsia" w:eastAsia="方正仿宋简体"/>
          <w:color w:val="auto"/>
          <w:sz w:val="32"/>
          <w:szCs w:val="32"/>
          <w:highlight w:val="none"/>
          <w:lang w:eastAsia="zh-CN"/>
        </w:rPr>
        <w:t>机制落实</w:t>
      </w:r>
      <w:r>
        <w:rPr>
          <w:rFonts w:hint="eastAsia" w:eastAsia="方正仿宋简体"/>
          <w:color w:val="auto"/>
          <w:sz w:val="32"/>
          <w:szCs w:val="32"/>
          <w:highlight w:val="none"/>
        </w:rPr>
        <w:t>，引导企业职工和广大社会群众主动参与隐患排查整治，累计在1.58万家企业顺利推行，奖励金额400余万元。</w:t>
      </w:r>
      <w:r>
        <w:rPr>
          <w:rFonts w:eastAsia="方正仿宋简体"/>
          <w:color w:val="auto"/>
          <w:sz w:val="32"/>
          <w:szCs w:val="32"/>
          <w:highlight w:val="none"/>
        </w:rPr>
        <w:t>持续开展</w:t>
      </w:r>
      <w:r>
        <w:rPr>
          <w:rFonts w:hint="eastAsia" w:eastAsia="方正仿宋简体"/>
          <w:color w:val="auto"/>
          <w:sz w:val="32"/>
          <w:szCs w:val="32"/>
          <w:highlight w:val="none"/>
        </w:rPr>
        <w:t>“</w:t>
      </w:r>
      <w:r>
        <w:rPr>
          <w:rFonts w:eastAsia="方正仿宋简体"/>
          <w:color w:val="auto"/>
          <w:sz w:val="32"/>
          <w:szCs w:val="32"/>
          <w:highlight w:val="none"/>
        </w:rPr>
        <w:t>大学习、大培训、大考试</w:t>
      </w:r>
      <w:r>
        <w:rPr>
          <w:rFonts w:hint="eastAsia" w:eastAsia="方正仿宋简体"/>
          <w:color w:val="auto"/>
          <w:sz w:val="32"/>
          <w:szCs w:val="32"/>
          <w:highlight w:val="none"/>
        </w:rPr>
        <w:t>”</w:t>
      </w:r>
      <w:r>
        <w:rPr>
          <w:rFonts w:eastAsia="方正仿宋简体"/>
          <w:color w:val="auto"/>
          <w:sz w:val="32"/>
          <w:szCs w:val="32"/>
          <w:highlight w:val="none"/>
        </w:rPr>
        <w:t>专项活动，覆盖企业3923家、18.6万人。深化</w:t>
      </w:r>
      <w:r>
        <w:rPr>
          <w:rFonts w:hint="eastAsia" w:eastAsia="方正仿宋简体"/>
          <w:color w:val="auto"/>
          <w:sz w:val="32"/>
          <w:szCs w:val="32"/>
          <w:highlight w:val="none"/>
        </w:rPr>
        <w:t>“</w:t>
      </w:r>
      <w:r>
        <w:rPr>
          <w:rFonts w:eastAsia="方正仿宋简体"/>
          <w:color w:val="auto"/>
          <w:sz w:val="32"/>
          <w:szCs w:val="32"/>
          <w:highlight w:val="none"/>
        </w:rPr>
        <w:t>素质固安</w:t>
      </w:r>
      <w:r>
        <w:rPr>
          <w:rFonts w:hint="eastAsia" w:eastAsia="方正仿宋简体"/>
          <w:color w:val="auto"/>
          <w:sz w:val="32"/>
          <w:szCs w:val="32"/>
          <w:highlight w:val="none"/>
        </w:rPr>
        <w:t>”</w:t>
      </w:r>
      <w:r>
        <w:rPr>
          <w:rFonts w:eastAsia="方正仿宋简体"/>
          <w:color w:val="auto"/>
          <w:sz w:val="32"/>
          <w:szCs w:val="32"/>
          <w:highlight w:val="none"/>
        </w:rPr>
        <w:t>工程，开展安全宣传</w:t>
      </w:r>
      <w:r>
        <w:rPr>
          <w:rFonts w:hint="eastAsia" w:eastAsia="方正仿宋简体"/>
          <w:color w:val="auto"/>
          <w:sz w:val="32"/>
          <w:szCs w:val="32"/>
          <w:highlight w:val="none"/>
        </w:rPr>
        <w:t>“</w:t>
      </w:r>
      <w:r>
        <w:rPr>
          <w:rFonts w:eastAsia="方正仿宋简体"/>
          <w:color w:val="auto"/>
          <w:sz w:val="32"/>
          <w:szCs w:val="32"/>
          <w:highlight w:val="none"/>
        </w:rPr>
        <w:t>五进</w:t>
      </w:r>
      <w:r>
        <w:rPr>
          <w:rFonts w:hint="eastAsia" w:eastAsia="方正仿宋简体"/>
          <w:color w:val="auto"/>
          <w:sz w:val="32"/>
          <w:szCs w:val="32"/>
          <w:highlight w:val="none"/>
        </w:rPr>
        <w:t>”</w:t>
      </w:r>
      <w:r>
        <w:rPr>
          <w:rFonts w:eastAsia="方正仿宋简体"/>
          <w:color w:val="auto"/>
          <w:sz w:val="32"/>
          <w:szCs w:val="32"/>
          <w:highlight w:val="none"/>
        </w:rPr>
        <w:t>活动，开办《问安济宁》电视栏目，培育中小微企业安全明白人5286人、消防安全明白人1.2万余名。连续3年获评全省安全生产月优秀组织单位。在全省率先探索特种作业理论实操“一天考”模式，安全培训考试更加规范高效。</w:t>
      </w:r>
    </w:p>
    <w:p>
      <w:pPr>
        <w:pStyle w:val="2"/>
        <w:keepNext w:val="0"/>
        <w:keepLines w:val="0"/>
        <w:pageBreakBefore w:val="0"/>
        <w:widowControl w:val="0"/>
        <w:kinsoku/>
        <w:wordWrap/>
        <w:overflowPunct/>
        <w:topLinePunct w:val="0"/>
        <w:autoSpaceDE/>
        <w:autoSpaceDN/>
        <w:bidi w:val="0"/>
        <w:snapToGrid/>
        <w:spacing w:before="0" w:after="0" w:line="578" w:lineRule="exact"/>
        <w:ind w:firstLine="1285" w:firstLineChars="400"/>
        <w:textAlignment w:val="auto"/>
        <w:rPr>
          <w:rFonts w:hint="eastAsia" w:ascii="方正黑体简体" w:hAnsi="方正黑体简体" w:eastAsia="方正黑体简体" w:cs="方正黑体简体"/>
          <w:b/>
          <w:bCs/>
          <w:color w:val="auto"/>
          <w:szCs w:val="32"/>
          <w:highlight w:val="none"/>
        </w:rPr>
      </w:pPr>
      <w:bookmarkStart w:id="13" w:name="_Toc9866"/>
      <w:r>
        <w:rPr>
          <w:rFonts w:hint="eastAsia" w:ascii="方正黑体简体" w:hAnsi="方正黑体简体" w:eastAsia="方正黑体简体" w:cs="方正黑体简体"/>
          <w:b/>
          <w:bCs/>
          <w:color w:val="auto"/>
          <w:szCs w:val="32"/>
          <w:highlight w:val="none"/>
        </w:rPr>
        <w:t>第二章  “十五五”时期面临的主要问题</w:t>
      </w:r>
      <w:bookmarkEnd w:id="12"/>
      <w:bookmarkEnd w:id="13"/>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方正仿宋简体"/>
          <w:color w:val="auto"/>
          <w:sz w:val="32"/>
          <w:szCs w:val="32"/>
          <w:highlight w:val="none"/>
        </w:rPr>
      </w:pPr>
      <w:r>
        <w:rPr>
          <w:rFonts w:hint="eastAsia" w:eastAsia="方正仿宋简体"/>
          <w:color w:val="auto"/>
          <w:sz w:val="32"/>
          <w:szCs w:val="32"/>
          <w:highlight w:val="none"/>
        </w:rPr>
        <w:t>“</w:t>
      </w:r>
      <w:r>
        <w:rPr>
          <w:rFonts w:eastAsia="方正仿宋简体"/>
          <w:color w:val="auto"/>
          <w:sz w:val="32"/>
          <w:szCs w:val="32"/>
          <w:highlight w:val="none"/>
        </w:rPr>
        <w:t>十五五</w:t>
      </w:r>
      <w:r>
        <w:rPr>
          <w:rFonts w:hint="eastAsia" w:eastAsia="方正仿宋简体"/>
          <w:color w:val="auto"/>
          <w:sz w:val="32"/>
          <w:szCs w:val="32"/>
          <w:highlight w:val="none"/>
        </w:rPr>
        <w:t>”</w:t>
      </w:r>
      <w:r>
        <w:rPr>
          <w:rFonts w:eastAsia="方正仿宋简体"/>
          <w:color w:val="auto"/>
          <w:sz w:val="32"/>
          <w:szCs w:val="32"/>
          <w:highlight w:val="none"/>
        </w:rPr>
        <w:t>时期，是我市应急管理体系在新时代背景下谋篇布局、深化改革的关键五年。当前，我市应急管理工作仍处于承压前行、攻坚克难的重要阶段</w:t>
      </w:r>
      <w:r>
        <w:rPr>
          <w:rFonts w:hint="eastAsia" w:eastAsia="方正仿宋简体"/>
          <w:color w:val="auto"/>
          <w:sz w:val="32"/>
          <w:szCs w:val="32"/>
          <w:highlight w:val="none"/>
          <w:lang w:eastAsia="zh-CN"/>
        </w:rPr>
        <w:t>，</w:t>
      </w:r>
      <w:r>
        <w:rPr>
          <w:rFonts w:eastAsia="方正仿宋简体"/>
          <w:color w:val="auto"/>
          <w:sz w:val="32"/>
          <w:szCs w:val="32"/>
          <w:highlight w:val="none"/>
        </w:rPr>
        <w:t>安全生产基础尚不牢固，风险防控与应急救援能力仍存短板，现有体系与市域治理现代化高标准要求、与人民群众日益增长的安全需求相比，尚有明显差距。</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4" w:name="_Toc15040"/>
      <w:bookmarkStart w:id="15" w:name="_Toc212236720"/>
      <w:r>
        <w:rPr>
          <w:rFonts w:hint="eastAsia" w:ascii="方正楷体简体" w:hAnsi="方正楷体简体" w:eastAsia="方正楷体简体" w:cs="方正楷体简体"/>
          <w:color w:val="auto"/>
          <w:sz w:val="32"/>
          <w:highlight w:val="none"/>
        </w:rPr>
        <w:t>（一）应急管理基础能力存在明显短板</w:t>
      </w:r>
      <w:bookmarkEnd w:id="14"/>
      <w:bookmarkEnd w:id="15"/>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体制机制不够完善：</w:t>
      </w:r>
      <w:r>
        <w:rPr>
          <w:rFonts w:eastAsia="方正仿宋简体"/>
          <w:color w:val="auto"/>
          <w:sz w:val="32"/>
          <w:szCs w:val="32"/>
          <w:highlight w:val="none"/>
        </w:rPr>
        <w:t>统一指挥、专常兼备、反应灵敏的应急管理体制机制仍需完善。基层应急预案的实用性有待提升，部分村（社区）预案编制与实际情况脱节，演练缺乏实效性，难以有效应对真实灾害场景。部分部门仍协同不足</w:t>
      </w:r>
      <w:r>
        <w:rPr>
          <w:rFonts w:hint="eastAsia" w:eastAsia="方正仿宋简体"/>
          <w:color w:val="auto"/>
          <w:sz w:val="32"/>
          <w:szCs w:val="32"/>
          <w:highlight w:val="none"/>
          <w:lang w:eastAsia="zh-CN"/>
        </w:rPr>
        <w:t>，</w:t>
      </w:r>
      <w:r>
        <w:rPr>
          <w:rFonts w:eastAsia="方正仿宋简体"/>
          <w:color w:val="auto"/>
          <w:sz w:val="32"/>
          <w:szCs w:val="32"/>
          <w:highlight w:val="none"/>
        </w:rPr>
        <w:t>信息共享不畅、资源调配效率偏低，难以有效应对</w:t>
      </w:r>
      <w:r>
        <w:rPr>
          <w:rFonts w:hint="eastAsia" w:eastAsia="方正仿宋简体"/>
          <w:color w:val="auto"/>
          <w:sz w:val="32"/>
          <w:szCs w:val="32"/>
          <w:highlight w:val="none"/>
        </w:rPr>
        <w:t>“</w:t>
      </w:r>
      <w:r>
        <w:rPr>
          <w:rFonts w:eastAsia="方正仿宋简体"/>
          <w:color w:val="auto"/>
          <w:sz w:val="32"/>
          <w:szCs w:val="32"/>
          <w:highlight w:val="none"/>
        </w:rPr>
        <w:t>多灾种叠加、跨行业影响</w:t>
      </w:r>
      <w:r>
        <w:rPr>
          <w:rFonts w:hint="eastAsia" w:eastAsia="方正仿宋简体"/>
          <w:color w:val="auto"/>
          <w:sz w:val="32"/>
          <w:szCs w:val="32"/>
          <w:highlight w:val="none"/>
        </w:rPr>
        <w:t>”</w:t>
      </w:r>
      <w:r>
        <w:rPr>
          <w:rFonts w:eastAsia="方正仿宋简体"/>
          <w:color w:val="auto"/>
          <w:sz w:val="32"/>
          <w:szCs w:val="32"/>
          <w:highlight w:val="none"/>
        </w:rPr>
        <w:t>的突发事件。</w:t>
      </w:r>
    </w:p>
    <w:p>
      <w:pPr>
        <w:pStyle w:val="13"/>
        <w:keepNext w:val="0"/>
        <w:keepLines w:val="0"/>
        <w:pageBreakBefore w:val="0"/>
        <w:widowControl w:val="0"/>
        <w:tabs>
          <w:tab w:val="left" w:pos="2240"/>
        </w:tabs>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应急救援实战能力有待加强：</w:t>
      </w:r>
      <w:r>
        <w:rPr>
          <w:rFonts w:eastAsia="方正仿宋简体"/>
          <w:color w:val="auto"/>
          <w:sz w:val="32"/>
          <w:szCs w:val="32"/>
          <w:highlight w:val="none"/>
        </w:rPr>
        <w:t>应急救援力量体系化建设和专业化水平不足，装备配备和协同作战效能有待加强，复杂灾害场景下的快速响应、高效处置和综合保障能力不足。</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社会共治与基层基础依然薄弱：</w:t>
      </w:r>
      <w:r>
        <w:rPr>
          <w:rFonts w:eastAsia="方正仿宋简体"/>
          <w:color w:val="auto"/>
          <w:sz w:val="32"/>
          <w:szCs w:val="32"/>
          <w:highlight w:val="none"/>
        </w:rPr>
        <w:t>公众的风险防范意识和自救互救技能亟待普及提升。应急管理的</w:t>
      </w:r>
      <w:r>
        <w:rPr>
          <w:rFonts w:hint="eastAsia" w:eastAsia="方正仿宋简体"/>
          <w:color w:val="auto"/>
          <w:sz w:val="32"/>
          <w:szCs w:val="32"/>
          <w:highlight w:val="none"/>
        </w:rPr>
        <w:t>“</w:t>
      </w:r>
      <w:r>
        <w:rPr>
          <w:rFonts w:eastAsia="方正仿宋简体"/>
          <w:color w:val="auto"/>
          <w:sz w:val="32"/>
          <w:szCs w:val="32"/>
          <w:highlight w:val="none"/>
        </w:rPr>
        <w:t>最后一公里</w:t>
      </w:r>
      <w:r>
        <w:rPr>
          <w:rFonts w:hint="eastAsia" w:eastAsia="方正仿宋简体"/>
          <w:color w:val="auto"/>
          <w:sz w:val="32"/>
          <w:szCs w:val="32"/>
          <w:highlight w:val="none"/>
        </w:rPr>
        <w:t>”</w:t>
      </w:r>
      <w:r>
        <w:rPr>
          <w:rFonts w:eastAsia="方正仿宋简体"/>
          <w:color w:val="auto"/>
          <w:sz w:val="32"/>
          <w:szCs w:val="32"/>
          <w:highlight w:val="none"/>
        </w:rPr>
        <w:t>问题突出，基层在风险防范、先期处置等方面的能力、资源和责任均存在薄弱环节，尚未完全达到应急管理体系和能力现代化的要求。</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6" w:name="_Toc22715"/>
      <w:bookmarkStart w:id="17" w:name="_Toc212236721"/>
      <w:r>
        <w:rPr>
          <w:rFonts w:hint="eastAsia" w:ascii="方正楷体简体" w:hAnsi="方正楷体简体" w:eastAsia="方正楷体简体" w:cs="方正楷体简体"/>
          <w:color w:val="auto"/>
          <w:sz w:val="32"/>
          <w:highlight w:val="none"/>
        </w:rPr>
        <w:t>（二）安全生产风险形势依然严峻复杂</w:t>
      </w:r>
      <w:bookmarkEnd w:id="16"/>
      <w:bookmarkEnd w:id="17"/>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本质安全水平不高：</w:t>
      </w:r>
      <w:r>
        <w:rPr>
          <w:rFonts w:eastAsia="方正仿宋简体"/>
          <w:color w:val="auto"/>
          <w:sz w:val="32"/>
          <w:szCs w:val="32"/>
          <w:highlight w:val="none"/>
        </w:rPr>
        <w:t>我市产业结构偏重，各类安全风险点多面广、风险系数高，尤其是小微企业生产安全管理基础差、工艺技术装备落后，本质安全水平偏低。</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仿宋"/>
          <w:color w:val="auto"/>
          <w:sz w:val="32"/>
          <w:szCs w:val="32"/>
          <w:highlight w:val="none"/>
        </w:rPr>
      </w:pPr>
      <w:r>
        <w:rPr>
          <w:rFonts w:hint="eastAsia" w:ascii="方正仿宋简体" w:hAnsi="方正仿宋简体" w:eastAsia="方正仿宋简体" w:cs="方正仿宋简体"/>
          <w:b/>
          <w:bCs/>
          <w:color w:val="auto"/>
          <w:sz w:val="32"/>
          <w:szCs w:val="32"/>
          <w:highlight w:val="none"/>
        </w:rPr>
        <w:t>主体责任与监管执法落实不到位：</w:t>
      </w:r>
      <w:r>
        <w:rPr>
          <w:rFonts w:eastAsia="方正仿宋简体"/>
          <w:color w:val="auto"/>
          <w:sz w:val="32"/>
          <w:szCs w:val="32"/>
          <w:highlight w:val="none"/>
        </w:rPr>
        <w:t>部分企业受经济利益驱动，</w:t>
      </w:r>
      <w:r>
        <w:rPr>
          <w:rFonts w:hint="eastAsia" w:eastAsia="方正仿宋简体"/>
          <w:color w:val="auto"/>
          <w:sz w:val="32"/>
          <w:szCs w:val="32"/>
          <w:highlight w:val="none"/>
        </w:rPr>
        <w:t>“</w:t>
      </w:r>
      <w:r>
        <w:rPr>
          <w:rFonts w:eastAsia="方正仿宋简体"/>
          <w:color w:val="auto"/>
          <w:sz w:val="32"/>
          <w:szCs w:val="32"/>
          <w:highlight w:val="none"/>
        </w:rPr>
        <w:t>重效益、轻安全</w:t>
      </w:r>
      <w:r>
        <w:rPr>
          <w:rFonts w:hint="eastAsia" w:eastAsia="方正仿宋简体"/>
          <w:color w:val="auto"/>
          <w:sz w:val="32"/>
          <w:szCs w:val="32"/>
          <w:highlight w:val="none"/>
        </w:rPr>
        <w:t>”</w:t>
      </w:r>
      <w:r>
        <w:rPr>
          <w:rFonts w:eastAsia="方正仿宋简体"/>
          <w:color w:val="auto"/>
          <w:sz w:val="32"/>
          <w:szCs w:val="32"/>
          <w:highlight w:val="none"/>
        </w:rPr>
        <w:t>倾向抬头，安全投入不足，管理松懈，</w:t>
      </w:r>
      <w:r>
        <w:rPr>
          <w:rFonts w:hint="eastAsia" w:eastAsia="方正仿宋简体"/>
          <w:color w:val="auto"/>
          <w:sz w:val="32"/>
          <w:szCs w:val="32"/>
          <w:highlight w:val="none"/>
        </w:rPr>
        <w:t>“</w:t>
      </w:r>
      <w:r>
        <w:rPr>
          <w:rFonts w:eastAsia="方正仿宋简体"/>
          <w:color w:val="auto"/>
          <w:sz w:val="32"/>
          <w:szCs w:val="32"/>
          <w:highlight w:val="none"/>
        </w:rPr>
        <w:t>三违</w:t>
      </w:r>
      <w:r>
        <w:rPr>
          <w:rFonts w:hint="eastAsia" w:eastAsia="方正仿宋简体"/>
          <w:color w:val="auto"/>
          <w:sz w:val="32"/>
          <w:szCs w:val="32"/>
          <w:highlight w:val="none"/>
        </w:rPr>
        <w:t>”</w:t>
      </w:r>
      <w:r>
        <w:rPr>
          <w:rFonts w:eastAsia="方正仿宋简体"/>
          <w:color w:val="auto"/>
          <w:sz w:val="32"/>
          <w:szCs w:val="32"/>
          <w:highlight w:val="none"/>
        </w:rPr>
        <w:t>现象屡禁不止。属地管理和部门监管责任落实不到位，安全检查不深不细，隐患整治避重就轻，新兴行业、交叉领域监管责任界限不明。</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新旧风险交织叠加：</w:t>
      </w:r>
      <w:r>
        <w:rPr>
          <w:rFonts w:eastAsia="方正仿宋简体"/>
          <w:color w:val="auto"/>
          <w:sz w:val="32"/>
          <w:szCs w:val="32"/>
          <w:highlight w:val="none"/>
        </w:rPr>
        <w:t>非法违法生产经营行为有所增长。</w:t>
      </w:r>
      <w:r>
        <w:rPr>
          <w:rFonts w:hint="eastAsia" w:eastAsia="方正仿宋简体"/>
          <w:color w:val="auto"/>
          <w:sz w:val="32"/>
          <w:szCs w:val="32"/>
          <w:highlight w:val="none"/>
        </w:rPr>
        <w:t>矿山、危化品等传统高危行业的固有风险尚未完全消除，新材料、新工艺、新技术、新产业带来的未知风险持续增加，加剧了安全生产的复杂性和严峻性。</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8" w:name="_Toc212236722"/>
      <w:bookmarkStart w:id="19" w:name="_Toc17638"/>
      <w:r>
        <w:rPr>
          <w:rFonts w:hint="eastAsia" w:ascii="方正楷体简体" w:hAnsi="方正楷体简体" w:eastAsia="方正楷体简体" w:cs="方正楷体简体"/>
          <w:color w:val="auto"/>
          <w:sz w:val="32"/>
          <w:highlight w:val="none"/>
        </w:rPr>
        <w:t>（三）自然灾害防御体系面临严峻挑战</w:t>
      </w:r>
      <w:bookmarkEnd w:id="18"/>
      <w:bookmarkEnd w:id="19"/>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极端天气风险加剧：</w:t>
      </w:r>
      <w:r>
        <w:rPr>
          <w:rFonts w:eastAsia="方正仿宋简体"/>
          <w:color w:val="auto"/>
          <w:sz w:val="32"/>
          <w:szCs w:val="32"/>
          <w:highlight w:val="none"/>
        </w:rPr>
        <w:t>干旱、低温、台风、降水带北移等气象灾害频次、强度增大，由其引发的洪涝、冰冻、崩塌、滑坡、泥石流等次生灾害风险显著升高。</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基础设施防灾能力不足：</w:t>
      </w:r>
      <w:r>
        <w:rPr>
          <w:rFonts w:eastAsia="方正仿宋简体"/>
          <w:color w:val="auto"/>
          <w:sz w:val="32"/>
          <w:szCs w:val="32"/>
          <w:highlight w:val="none"/>
        </w:rPr>
        <w:t>城乡基础设施，特别是农村和城市老旧房屋的设防标准偏低，应急避难场所建设相对滞后，难以有效应对重大自然灾害冲击。</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监测预警能力有待提升：</w:t>
      </w:r>
      <w:r>
        <w:rPr>
          <w:rFonts w:eastAsia="方正仿宋简体"/>
          <w:color w:val="auto"/>
          <w:sz w:val="32"/>
          <w:szCs w:val="32"/>
          <w:highlight w:val="none"/>
        </w:rPr>
        <w:t>自然灾害监测预警体系尚未完全建成，预报预警的精准度和时效性仍需进一步提高，以支撑更有效的临灾避险和应急响应。</w:t>
      </w:r>
    </w:p>
    <w:p>
      <w:pPr>
        <w:pStyle w:val="2"/>
        <w:keepNext w:val="0"/>
        <w:keepLines w:val="0"/>
        <w:pageBreakBefore w:val="0"/>
        <w:widowControl w:val="0"/>
        <w:kinsoku/>
        <w:wordWrap/>
        <w:overflowPunct/>
        <w:topLinePunct w:val="0"/>
        <w:autoSpaceDE/>
        <w:autoSpaceDN/>
        <w:bidi w:val="0"/>
        <w:snapToGrid/>
        <w:spacing w:before="0" w:after="0" w:line="578" w:lineRule="exact"/>
        <w:jc w:val="center"/>
        <w:textAlignment w:val="auto"/>
        <w:rPr>
          <w:rFonts w:hint="eastAsia" w:ascii="方正黑体简体" w:hAnsi="方正黑体简体" w:eastAsia="方正黑体简体" w:cs="方正黑体简体"/>
          <w:b/>
          <w:bCs/>
          <w:color w:val="auto"/>
          <w:szCs w:val="32"/>
          <w:highlight w:val="none"/>
        </w:rPr>
      </w:pPr>
      <w:bookmarkStart w:id="20" w:name="_Toc212236723"/>
      <w:bookmarkStart w:id="21" w:name="_Toc27719"/>
      <w:r>
        <w:rPr>
          <w:rFonts w:hint="eastAsia" w:ascii="方正黑体简体" w:hAnsi="方正黑体简体" w:eastAsia="方正黑体简体" w:cs="方正黑体简体"/>
          <w:b/>
          <w:bCs/>
          <w:color w:val="auto"/>
          <w:szCs w:val="32"/>
          <w:highlight w:val="none"/>
        </w:rPr>
        <w:t>第三章 思路与目标</w:t>
      </w:r>
      <w:bookmarkEnd w:id="20"/>
      <w:bookmarkEnd w:id="21"/>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22" w:name="_Toc14314"/>
      <w:bookmarkStart w:id="23" w:name="_Toc212236724"/>
      <w:r>
        <w:rPr>
          <w:rFonts w:hint="eastAsia" w:ascii="方正楷体简体" w:hAnsi="方正楷体简体" w:eastAsia="方正楷体简体" w:cs="方正楷体简体"/>
          <w:color w:val="auto"/>
          <w:sz w:val="32"/>
          <w:highlight w:val="none"/>
        </w:rPr>
        <w:t>（一）指导思想</w:t>
      </w:r>
      <w:bookmarkEnd w:id="22"/>
      <w:bookmarkEnd w:id="2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以习近平新时代中国特色社会主义思想为指导，全面贯彻落实党的二十届三中、四中全会精神，坚持安全发展观，坚持改革创新，坚持系统治理，按照大安全大应急要求，紧扣“走在前、挑大梁”的职责定位，将“人民至上、生命至上”理念贯穿应急管理全过程，构建以风险治理为核心，建立健全源头管控制度化、风险治理常态化、监测预警信息化、自然灾害防救协同化的长效机制，有效应对重特大风险；压实各方责任，以高效应对处置各类灾害事故为主线，完善大安全大应急框架下应急指挥机制，大力提升基层应急管理能力，筑牢防灾减灾救灾和安全生产防线，助力全市高质量发展。</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24" w:name="_Toc212236725"/>
      <w:bookmarkStart w:id="25" w:name="_Toc16216"/>
      <w:r>
        <w:rPr>
          <w:rFonts w:hint="eastAsia" w:ascii="方正楷体简体" w:hAnsi="方正楷体简体" w:eastAsia="方正楷体简体" w:cs="方正楷体简体"/>
          <w:color w:val="auto"/>
          <w:sz w:val="32"/>
          <w:highlight w:val="none"/>
        </w:rPr>
        <w:t>（二）基本原则</w:t>
      </w:r>
      <w:bookmarkEnd w:id="24"/>
      <w:bookmarkEnd w:id="25"/>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——坚持党的全面领导：</w:t>
      </w:r>
      <w:r>
        <w:rPr>
          <w:rFonts w:eastAsia="方正仿宋简体"/>
          <w:color w:val="auto"/>
          <w:sz w:val="32"/>
          <w:szCs w:val="32"/>
          <w:highlight w:val="none"/>
        </w:rPr>
        <w:t>应急管理体系建设以党的全面领导为核心，贯彻</w:t>
      </w:r>
      <w:r>
        <w:rPr>
          <w:rFonts w:hint="eastAsia" w:eastAsia="方正仿宋简体"/>
          <w:color w:val="auto"/>
          <w:sz w:val="32"/>
          <w:szCs w:val="32"/>
          <w:highlight w:val="none"/>
        </w:rPr>
        <w:t>“</w:t>
      </w:r>
      <w:r>
        <w:rPr>
          <w:rFonts w:eastAsia="方正仿宋简体"/>
          <w:color w:val="auto"/>
          <w:sz w:val="32"/>
          <w:szCs w:val="32"/>
          <w:highlight w:val="none"/>
        </w:rPr>
        <w:t>两个坚持、三个转变</w:t>
      </w:r>
      <w:r>
        <w:rPr>
          <w:rFonts w:hint="eastAsia" w:eastAsia="方正仿宋简体"/>
          <w:color w:val="auto"/>
          <w:sz w:val="32"/>
          <w:szCs w:val="32"/>
          <w:highlight w:val="none"/>
        </w:rPr>
        <w:t>”</w:t>
      </w:r>
      <w:r>
        <w:rPr>
          <w:rFonts w:eastAsia="方正仿宋简体"/>
          <w:color w:val="auto"/>
          <w:sz w:val="32"/>
          <w:szCs w:val="32"/>
          <w:highlight w:val="none"/>
        </w:rPr>
        <w:t>重要论述，发挥党组织在政治、思想、群众及社会层面的引领作用，确保应急管理工作沿着正确方向稳步推进。</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——坚持以人为本：</w:t>
      </w:r>
      <w:r>
        <w:rPr>
          <w:rFonts w:eastAsia="方正仿宋简体"/>
          <w:color w:val="auto"/>
          <w:sz w:val="32"/>
          <w:szCs w:val="32"/>
          <w:highlight w:val="none"/>
        </w:rPr>
        <w:t>坚持人民至上、生命至上的根本价值理念，将</w:t>
      </w:r>
      <w:r>
        <w:rPr>
          <w:rFonts w:hint="eastAsia" w:eastAsia="方正仿宋简体"/>
          <w:color w:val="auto"/>
          <w:sz w:val="32"/>
          <w:szCs w:val="32"/>
          <w:highlight w:val="none"/>
        </w:rPr>
        <w:t>“</w:t>
      </w:r>
      <w:r>
        <w:rPr>
          <w:rFonts w:eastAsia="方正仿宋简体"/>
          <w:color w:val="auto"/>
          <w:sz w:val="32"/>
          <w:szCs w:val="32"/>
          <w:highlight w:val="none"/>
        </w:rPr>
        <w:t>以人为本</w:t>
      </w:r>
      <w:r>
        <w:rPr>
          <w:rFonts w:hint="eastAsia" w:eastAsia="方正仿宋简体"/>
          <w:color w:val="auto"/>
          <w:sz w:val="32"/>
          <w:szCs w:val="32"/>
          <w:highlight w:val="none"/>
        </w:rPr>
        <w:t>”</w:t>
      </w:r>
      <w:r>
        <w:rPr>
          <w:rFonts w:eastAsia="方正仿宋简体"/>
          <w:color w:val="auto"/>
          <w:sz w:val="32"/>
          <w:szCs w:val="32"/>
          <w:highlight w:val="none"/>
        </w:rPr>
        <w:t>作为高质量发展的出发点与落脚点，锚定人民的更高层次需求，推动应急管理水平与人民美好生活协同共进。</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——坚持防治结合：</w:t>
      </w:r>
      <w:r>
        <w:rPr>
          <w:rFonts w:eastAsia="方正仿宋简体"/>
          <w:color w:val="auto"/>
          <w:sz w:val="32"/>
          <w:szCs w:val="32"/>
          <w:highlight w:val="none"/>
        </w:rPr>
        <w:t>坚持以防为主、防抗救相结合的理念，精准把握灾害事故的致灾规律，针对事前预防、事中应对、事后恢复各环节，落实差异化、精细化管理举措。构建科学高效的防抗救体系，健全综合治理工作机制，全方位指导防灾救灾各环节工作。</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——坚持社会共治：</w:t>
      </w:r>
      <w:r>
        <w:rPr>
          <w:rFonts w:eastAsia="方正仿宋简体"/>
          <w:color w:val="auto"/>
          <w:sz w:val="32"/>
          <w:szCs w:val="32"/>
          <w:highlight w:val="none"/>
        </w:rPr>
        <w:t>构建政府主导、社会协同、公众参与的多元共治应急管理新格局。</w:t>
      </w:r>
      <w:r>
        <w:rPr>
          <w:rFonts w:hint="eastAsia" w:eastAsia="方正仿宋简体"/>
          <w:color w:val="auto"/>
          <w:sz w:val="32"/>
          <w:szCs w:val="32"/>
          <w:highlight w:val="none"/>
        </w:rPr>
        <w:t>坚持有效市场和有为政府相结合，以“放管服”改革为核心抓手，</w:t>
      </w:r>
      <w:r>
        <w:rPr>
          <w:rFonts w:eastAsia="方正仿宋简体"/>
          <w:color w:val="auto"/>
          <w:sz w:val="32"/>
          <w:szCs w:val="32"/>
          <w:highlight w:val="none"/>
        </w:rPr>
        <w:t>完善公众参与机制，引导社会力量参与风险排查、应急处置等工作，凝聚全社会共同参与应急管理的强大合力。</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eastAsia="仿宋"/>
          <w:b/>
          <w:bCs/>
          <w:color w:val="auto"/>
          <w:sz w:val="32"/>
          <w:szCs w:val="32"/>
          <w:highlight w:val="none"/>
        </w:rPr>
        <w:t>——坚持守正创新：</w:t>
      </w:r>
      <w:r>
        <w:rPr>
          <w:rFonts w:eastAsia="方正仿宋简体"/>
          <w:color w:val="auto"/>
          <w:sz w:val="32"/>
          <w:szCs w:val="32"/>
          <w:highlight w:val="none"/>
        </w:rPr>
        <w:t>不断推进理论创新、实践创新、制度创新。按照大安全大应急的整体框架要求，以新质生产力赋能新质战斗力，深化推进</w:t>
      </w:r>
      <w:r>
        <w:rPr>
          <w:rFonts w:hint="eastAsia" w:eastAsia="方正仿宋简体"/>
          <w:color w:val="auto"/>
          <w:sz w:val="32"/>
          <w:szCs w:val="32"/>
          <w:highlight w:val="none"/>
        </w:rPr>
        <w:t>“</w:t>
      </w:r>
      <w:r>
        <w:rPr>
          <w:rFonts w:eastAsia="方正仿宋简体"/>
          <w:color w:val="auto"/>
          <w:sz w:val="32"/>
          <w:szCs w:val="32"/>
          <w:highlight w:val="none"/>
        </w:rPr>
        <w:t>智慧应急</w:t>
      </w:r>
      <w:r>
        <w:rPr>
          <w:rFonts w:hint="eastAsia" w:eastAsia="方正仿宋简体"/>
          <w:color w:val="auto"/>
          <w:sz w:val="32"/>
          <w:szCs w:val="32"/>
          <w:highlight w:val="none"/>
        </w:rPr>
        <w:t>”</w:t>
      </w:r>
      <w:r>
        <w:rPr>
          <w:rFonts w:eastAsia="方正仿宋简体"/>
          <w:color w:val="auto"/>
          <w:sz w:val="32"/>
          <w:szCs w:val="32"/>
          <w:highlight w:val="none"/>
        </w:rPr>
        <w:t>战略，开展应急管理装备创新发展行动，推动我市应急管理体系和能力现代化。</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26" w:name="_Toc6905"/>
      <w:bookmarkStart w:id="27" w:name="_Toc212236726"/>
      <w:r>
        <w:rPr>
          <w:rFonts w:hint="eastAsia" w:ascii="方正楷体简体" w:hAnsi="方正楷体简体" w:eastAsia="方正楷体简体" w:cs="方正楷体简体"/>
          <w:color w:val="auto"/>
          <w:sz w:val="32"/>
          <w:highlight w:val="none"/>
        </w:rPr>
        <w:t>（三）规划目标</w:t>
      </w:r>
      <w:bookmarkEnd w:id="26"/>
      <w:bookmarkEnd w:id="2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仿宋" w:cs="Times New Roman"/>
          <w:color w:val="auto"/>
          <w:sz w:val="32"/>
          <w:szCs w:val="32"/>
          <w:highlight w:val="none"/>
        </w:rPr>
      </w:pPr>
      <w:r>
        <w:rPr>
          <w:rFonts w:eastAsia="方正仿宋简体" w:cs="Times New Roman"/>
          <w:color w:val="auto"/>
          <w:sz w:val="32"/>
          <w:szCs w:val="32"/>
          <w:highlight w:val="none"/>
        </w:rPr>
        <w:t>到2030年，全市应急管理体系和能力现代化建设迈上新台阶，</w:t>
      </w:r>
      <w:r>
        <w:rPr>
          <w:rFonts w:hint="eastAsia" w:eastAsia="方正仿宋简体" w:cs="Times New Roman"/>
          <w:color w:val="auto"/>
          <w:sz w:val="32"/>
          <w:szCs w:val="32"/>
          <w:highlight w:val="none"/>
        </w:rPr>
        <w:t>更加注重关口前移、本质安全、实战导向、基层基础。</w:t>
      </w:r>
      <w:r>
        <w:rPr>
          <w:rFonts w:eastAsia="方正仿宋简体" w:cs="Times New Roman"/>
          <w:color w:val="auto"/>
          <w:sz w:val="32"/>
          <w:szCs w:val="32"/>
          <w:highlight w:val="none"/>
        </w:rPr>
        <w:t>通过制度引领、科技赋能、人才带动等手段，实现</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体系完善、能力过硬、共治高效、安全可控</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的发展目标，为经济社会高质量发展筑牢安全屏障。</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仿宋" w:cs="Times New Roman"/>
          <w:b/>
          <w:bCs/>
          <w:color w:val="auto"/>
          <w:sz w:val="32"/>
          <w:szCs w:val="32"/>
          <w:highlight w:val="none"/>
        </w:rPr>
      </w:pPr>
      <w:r>
        <w:rPr>
          <w:rFonts w:eastAsia="仿宋" w:cs="Times New Roman"/>
          <w:b/>
          <w:bCs/>
          <w:color w:val="auto"/>
          <w:sz w:val="32"/>
          <w:szCs w:val="32"/>
          <w:highlight w:val="none"/>
        </w:rPr>
        <w:t>1.聚焦</w:t>
      </w:r>
      <w:r>
        <w:rPr>
          <w:rFonts w:hint="eastAsia" w:eastAsia="仿宋" w:cs="Times New Roman"/>
          <w:b/>
          <w:bCs/>
          <w:color w:val="auto"/>
          <w:sz w:val="32"/>
          <w:szCs w:val="32"/>
          <w:highlight w:val="none"/>
        </w:rPr>
        <w:t>“</w:t>
      </w:r>
      <w:r>
        <w:rPr>
          <w:rFonts w:eastAsia="仿宋" w:cs="Times New Roman"/>
          <w:b/>
          <w:bCs/>
          <w:color w:val="auto"/>
          <w:sz w:val="32"/>
          <w:szCs w:val="32"/>
          <w:highlight w:val="none"/>
        </w:rPr>
        <w:t>统一权威、高效协同、智慧赋能</w:t>
      </w:r>
      <w:r>
        <w:rPr>
          <w:rFonts w:hint="eastAsia" w:eastAsia="仿宋" w:cs="Times New Roman"/>
          <w:b/>
          <w:bCs/>
          <w:color w:val="auto"/>
          <w:sz w:val="32"/>
          <w:szCs w:val="32"/>
          <w:highlight w:val="none"/>
        </w:rPr>
        <w:t>”</w:t>
      </w:r>
      <w:r>
        <w:rPr>
          <w:rFonts w:eastAsia="仿宋" w:cs="Times New Roman"/>
          <w:b/>
          <w:bCs/>
          <w:color w:val="auto"/>
          <w:sz w:val="32"/>
          <w:szCs w:val="32"/>
          <w:highlight w:val="none"/>
        </w:rPr>
        <w:t>核心要求，全面建成现代化应急管理体系，提升风险防控与应急处置综合效能。</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打造智慧化风险防控体系：</w:t>
      </w:r>
      <w:r>
        <w:rPr>
          <w:rFonts w:eastAsia="方正仿宋简体" w:cs="Times New Roman"/>
          <w:color w:val="auto"/>
          <w:sz w:val="32"/>
          <w:szCs w:val="32"/>
          <w:highlight w:val="none"/>
        </w:rPr>
        <w:t>建成自然灾害综合监测预警平台，实现灾害风险早期精准识别、隐患综合科学评估、风险源头严格管控的全链条闭环管理，以智慧应急技术赋能风险防控提质增效。</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提升应急救援核心能力：</w:t>
      </w:r>
      <w:r>
        <w:rPr>
          <w:rFonts w:eastAsia="方正仿宋简体" w:cs="Times New Roman"/>
          <w:color w:val="auto"/>
          <w:sz w:val="32"/>
          <w:szCs w:val="32"/>
          <w:highlight w:val="none"/>
        </w:rPr>
        <w:t>强化应急队伍现代化救援素养与专业技能，夯实基层单位灾害救助、善后处置及恢复重建实战能力；</w:t>
      </w:r>
      <w:r>
        <w:rPr>
          <w:rFonts w:hint="eastAsia" w:eastAsia="方正仿宋简体" w:cs="Times New Roman"/>
          <w:color w:val="auto"/>
          <w:sz w:val="32"/>
          <w:szCs w:val="32"/>
          <w:highlight w:val="none"/>
        </w:rPr>
        <w:t>健全应急救援力量协同联动机制，优化专业救援力量布局，加强多灾种实战化训练演练，提升极端条件下快速响应和科学救援水平。</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完善应急保障基础支撑：</w:t>
      </w:r>
      <w:r>
        <w:rPr>
          <w:rFonts w:eastAsia="方正仿宋简体" w:cs="Times New Roman"/>
          <w:color w:val="auto"/>
          <w:sz w:val="32"/>
          <w:szCs w:val="32"/>
          <w:highlight w:val="none"/>
        </w:rPr>
        <w:t>推进标准化应急避难场所建设，实现布局合理、功能完备、标识清晰、管理规范；深化部门协同机制，运用信息化、数字化、智能化手段，全面提升跨区域、跨部门协同处置与智能高效调度水平。</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仿宋" w:cs="Times New Roman"/>
          <w:b/>
          <w:bCs/>
          <w:color w:val="auto"/>
          <w:sz w:val="32"/>
          <w:szCs w:val="32"/>
          <w:highlight w:val="none"/>
        </w:rPr>
      </w:pPr>
      <w:r>
        <w:rPr>
          <w:rFonts w:eastAsia="仿宋" w:cs="Times New Roman"/>
          <w:b/>
          <w:bCs/>
          <w:color w:val="auto"/>
          <w:sz w:val="32"/>
          <w:szCs w:val="32"/>
          <w:highlight w:val="none"/>
        </w:rPr>
        <w:t>2.构建</w:t>
      </w:r>
      <w:r>
        <w:rPr>
          <w:rFonts w:hint="eastAsia" w:eastAsia="仿宋" w:cs="Times New Roman"/>
          <w:b/>
          <w:bCs/>
          <w:color w:val="auto"/>
          <w:sz w:val="32"/>
          <w:szCs w:val="32"/>
          <w:highlight w:val="none"/>
        </w:rPr>
        <w:t>“</w:t>
      </w:r>
      <w:r>
        <w:rPr>
          <w:rFonts w:eastAsia="仿宋" w:cs="Times New Roman"/>
          <w:b/>
          <w:bCs/>
          <w:color w:val="auto"/>
          <w:sz w:val="32"/>
          <w:szCs w:val="32"/>
          <w:highlight w:val="none"/>
        </w:rPr>
        <w:t>责任明晰、源头严控、全程监管、社会参与</w:t>
      </w:r>
      <w:r>
        <w:rPr>
          <w:rFonts w:hint="eastAsia" w:eastAsia="仿宋" w:cs="Times New Roman"/>
          <w:b/>
          <w:bCs/>
          <w:color w:val="auto"/>
          <w:sz w:val="32"/>
          <w:szCs w:val="32"/>
          <w:highlight w:val="none"/>
        </w:rPr>
        <w:t>”</w:t>
      </w:r>
      <w:r>
        <w:rPr>
          <w:rFonts w:eastAsia="仿宋" w:cs="Times New Roman"/>
          <w:b/>
          <w:bCs/>
          <w:color w:val="auto"/>
          <w:sz w:val="32"/>
          <w:szCs w:val="32"/>
          <w:highlight w:val="none"/>
        </w:rPr>
        <w:t>的安全生产治理体系，坚持</w:t>
      </w:r>
      <w:r>
        <w:rPr>
          <w:rFonts w:hint="eastAsia" w:eastAsia="仿宋" w:cs="Times New Roman"/>
          <w:b/>
          <w:bCs/>
          <w:color w:val="auto"/>
          <w:sz w:val="32"/>
          <w:szCs w:val="32"/>
          <w:highlight w:val="none"/>
        </w:rPr>
        <w:t>“</w:t>
      </w:r>
      <w:r>
        <w:rPr>
          <w:rFonts w:eastAsia="仿宋" w:cs="Times New Roman"/>
          <w:b/>
          <w:bCs/>
          <w:color w:val="auto"/>
          <w:sz w:val="32"/>
          <w:szCs w:val="32"/>
          <w:highlight w:val="none"/>
        </w:rPr>
        <w:t>双重预防机制</w:t>
      </w:r>
      <w:r>
        <w:rPr>
          <w:rFonts w:hint="eastAsia" w:eastAsia="仿宋" w:cs="Times New Roman"/>
          <w:b/>
          <w:bCs/>
          <w:color w:val="auto"/>
          <w:sz w:val="32"/>
          <w:szCs w:val="32"/>
          <w:highlight w:val="none"/>
        </w:rPr>
        <w:t>”</w:t>
      </w:r>
      <w:r>
        <w:rPr>
          <w:rFonts w:eastAsia="仿宋" w:cs="Times New Roman"/>
          <w:b/>
          <w:bCs/>
          <w:color w:val="auto"/>
          <w:sz w:val="32"/>
          <w:szCs w:val="32"/>
          <w:highlight w:val="none"/>
        </w:rPr>
        <w:t>，推动安全治理模式向事前预防转型，实现安全形势持续稳定向好。</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健全全链条责任体系：</w:t>
      </w:r>
      <w:r>
        <w:rPr>
          <w:rFonts w:eastAsia="方正仿宋简体" w:cs="Times New Roman"/>
          <w:color w:val="auto"/>
          <w:sz w:val="32"/>
          <w:szCs w:val="32"/>
          <w:highlight w:val="none"/>
        </w:rPr>
        <w:t>层层压实安全生产责任，明确</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政府</w:t>
      </w:r>
      <w:r>
        <w:rPr>
          <w:rFonts w:hint="eastAsia" w:eastAsia="方正仿宋简体" w:cs="Times New Roman"/>
          <w:color w:val="auto"/>
          <w:sz w:val="32"/>
          <w:szCs w:val="32"/>
          <w:highlight w:val="none"/>
        </w:rPr>
        <w:t>监管</w:t>
      </w:r>
      <w:r>
        <w:rPr>
          <w:rFonts w:eastAsia="方正仿宋简体" w:cs="Times New Roman"/>
          <w:color w:val="auto"/>
          <w:sz w:val="32"/>
          <w:szCs w:val="32"/>
          <w:highlight w:val="none"/>
        </w:rPr>
        <w:t>、行业主管、部门</w:t>
      </w:r>
      <w:r>
        <w:rPr>
          <w:rFonts w:hint="eastAsia" w:eastAsia="方正仿宋简体" w:cs="Times New Roman"/>
          <w:color w:val="auto"/>
          <w:sz w:val="32"/>
          <w:szCs w:val="32"/>
          <w:highlight w:val="none"/>
        </w:rPr>
        <w:t>落实</w:t>
      </w:r>
      <w:r>
        <w:rPr>
          <w:rFonts w:eastAsia="方正仿宋简体" w:cs="Times New Roman"/>
          <w:color w:val="auto"/>
          <w:sz w:val="32"/>
          <w:szCs w:val="32"/>
          <w:highlight w:val="none"/>
        </w:rPr>
        <w:t>、企业</w:t>
      </w:r>
      <w:r>
        <w:rPr>
          <w:rFonts w:hint="eastAsia" w:eastAsia="方正仿宋简体" w:cs="Times New Roman"/>
          <w:color w:val="auto"/>
          <w:sz w:val="32"/>
          <w:szCs w:val="32"/>
          <w:highlight w:val="none"/>
        </w:rPr>
        <w:t>负责、</w:t>
      </w:r>
      <w:r>
        <w:rPr>
          <w:rFonts w:eastAsia="方正仿宋简体" w:cs="Times New Roman"/>
          <w:color w:val="auto"/>
          <w:sz w:val="32"/>
          <w:szCs w:val="32"/>
          <w:highlight w:val="none"/>
        </w:rPr>
        <w:t>群众及工会监督</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的社会共治责任架构，推动责任落实到岗、到人、到环节。</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强化全流程监管机制：</w:t>
      </w:r>
      <w:r>
        <w:rPr>
          <w:rFonts w:eastAsia="方正仿宋简体" w:cs="Times New Roman"/>
          <w:color w:val="auto"/>
          <w:sz w:val="32"/>
          <w:szCs w:val="32"/>
          <w:highlight w:val="none"/>
        </w:rPr>
        <w:t>加强源头治理，完善项目论证评审、建设实施、投产验收全流程监管模式；紧盯生产经营全周期，强化从原材料采购到成品运输交付的全员全过程安全管控；深化重点行业领域重大隐患动态清零机制，创建新兴行业领域</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作业规范化、监管协同化、隐患治理高效化</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监管模式；夯实基层基础，深化风险隐患</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定期筛查、及时上报、限期整治</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全链条监管。</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ascii="Times New Roman" w:hAnsi="Times New Roman" w:eastAsia="方正仿宋简体" w:cs="Times New Roman"/>
          <w:color w:val="auto"/>
          <w:sz w:val="32"/>
          <w:szCs w:val="32"/>
          <w:highlight w:val="none"/>
        </w:rPr>
      </w:pPr>
      <w:r>
        <w:rPr>
          <w:rFonts w:ascii="Times New Roman" w:hAnsi="Times New Roman" w:eastAsia="仿宋" w:cs="Times New Roman"/>
          <w:b/>
          <w:bCs/>
          <w:color w:val="auto"/>
          <w:sz w:val="32"/>
          <w:szCs w:val="32"/>
          <w:highlight w:val="none"/>
        </w:rPr>
        <w:t>构建社会协同治理体系：</w:t>
      </w:r>
      <w:r>
        <w:rPr>
          <w:rFonts w:ascii="Times New Roman" w:hAnsi="Times New Roman" w:eastAsia="方正仿宋简体" w:cs="Times New Roman"/>
          <w:color w:val="auto"/>
          <w:sz w:val="32"/>
          <w:szCs w:val="32"/>
          <w:highlight w:val="none"/>
        </w:rPr>
        <w:t>强化素质固安</w:t>
      </w:r>
      <w:r>
        <w:rPr>
          <w:rFonts w:hint="eastAsia" w:ascii="Times New Roman" w:hAnsi="Times New Roman" w:eastAsia="方正仿宋简体" w:cs="Times New Roman"/>
          <w:color w:val="auto"/>
          <w:sz w:val="32"/>
          <w:szCs w:val="32"/>
          <w:highlight w:val="none"/>
        </w:rPr>
        <w:t>“安全明白人”培养</w:t>
      </w:r>
      <w:r>
        <w:rPr>
          <w:rFonts w:ascii="Times New Roman" w:hAnsi="Times New Roman" w:eastAsia="方正仿宋简体" w:cs="Times New Roman"/>
          <w:color w:val="auto"/>
          <w:sz w:val="32"/>
          <w:szCs w:val="32"/>
          <w:highlight w:val="none"/>
        </w:rPr>
        <w:t>工程，建立群众、工会及其他社会组织定期监督及建言献策机制，拓宽安全生产社会监督渠道；健全各行业安全法规规章体系，引领行业健康有序发展。</w:t>
      </w:r>
    </w:p>
    <w:p>
      <w:pPr>
        <w:keepNext w:val="0"/>
        <w:keepLines w:val="0"/>
        <w:pageBreakBefore w:val="0"/>
        <w:widowControl w:val="0"/>
        <w:kinsoku/>
        <w:wordWrap/>
        <w:overflowPunct/>
        <w:topLinePunct w:val="0"/>
        <w:autoSpaceDE/>
        <w:autoSpaceDN/>
        <w:bidi w:val="0"/>
        <w:snapToGrid/>
        <w:spacing w:after="0" w:line="578" w:lineRule="exact"/>
        <w:ind w:firstLine="643"/>
        <w:textAlignment w:val="auto"/>
        <w:rPr>
          <w:rFonts w:eastAsia="方正仿宋简体" w:cs="Times New Roman"/>
          <w:color w:val="auto"/>
          <w:sz w:val="32"/>
          <w:szCs w:val="32"/>
          <w:highlight w:val="none"/>
        </w:rPr>
      </w:pPr>
      <w:r>
        <w:rPr>
          <w:rFonts w:eastAsia="仿宋" w:cs="Times New Roman"/>
          <w:b/>
          <w:bCs/>
          <w:color w:val="auto"/>
          <w:sz w:val="32"/>
          <w:szCs w:val="32"/>
          <w:highlight w:val="none"/>
        </w:rPr>
        <w:t>明确核心管控目标：</w:t>
      </w:r>
      <w:r>
        <w:rPr>
          <w:rFonts w:eastAsia="方正仿宋简体" w:cs="Times New Roman"/>
          <w:color w:val="auto"/>
          <w:sz w:val="32"/>
          <w:szCs w:val="32"/>
          <w:highlight w:val="none"/>
        </w:rPr>
        <w:t>坚决杜绝重大生产安全事故，形成全社会共同参与的应急治理新格局，推动人民群众安全感和满意度实质性提升。</w:t>
      </w: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黑体简体" w:hAnsi="方正黑体简体" w:eastAsia="方正黑体简体" w:cs="方正黑体简体"/>
          <w:color w:val="auto"/>
          <w:sz w:val="32"/>
          <w:szCs w:val="32"/>
          <w:highlight w:val="none"/>
        </w:rPr>
      </w:pPr>
      <w:r>
        <w:rPr>
          <w:rFonts w:hint="eastAsia" w:ascii="方正黑体简体" w:hAnsi="方正黑体简体" w:eastAsia="方正黑体简体" w:cs="方正黑体简体"/>
          <w:color w:val="auto"/>
          <w:sz w:val="32"/>
          <w:szCs w:val="32"/>
          <w:highlight w:val="none"/>
        </w:rPr>
        <w:t>“十五五”时期主要控制性指标</w:t>
      </w:r>
    </w:p>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ascii="方正黑体简体" w:hAnsi="方正黑体简体" w:eastAsia="方正黑体简体" w:cs="方正黑体简体"/>
          <w:color w:val="auto"/>
          <w:sz w:val="32"/>
          <w:szCs w:val="32"/>
          <w:highlight w:val="none"/>
        </w:rPr>
      </w:pPr>
    </w:p>
    <w:tbl>
      <w:tblPr>
        <w:tblStyle w:val="29"/>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25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序号</w:t>
            </w:r>
          </w:p>
        </w:tc>
        <w:tc>
          <w:tcPr>
            <w:tcW w:w="525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eastAsia="方正仿宋简体" w:cs="Times New Roman"/>
                <w:color w:val="auto"/>
                <w:sz w:val="32"/>
                <w:szCs w:val="32"/>
                <w:highlight w:val="none"/>
                <w:lang w:eastAsia="zh-CN"/>
              </w:rPr>
            </w:pPr>
            <w:r>
              <w:rPr>
                <w:rFonts w:hint="eastAsia" w:eastAsia="方正仿宋简体" w:cs="Times New Roman"/>
                <w:color w:val="auto"/>
                <w:sz w:val="32"/>
                <w:szCs w:val="32"/>
                <w:highlight w:val="none"/>
              </w:rPr>
              <w:t>指标</w:t>
            </w:r>
            <w:r>
              <w:rPr>
                <w:rFonts w:hint="eastAsia" w:eastAsia="方正仿宋简体" w:cs="Times New Roman"/>
                <w:color w:val="auto"/>
                <w:sz w:val="32"/>
                <w:szCs w:val="32"/>
                <w:highlight w:val="none"/>
                <w:lang w:eastAsia="zh-CN"/>
              </w:rPr>
              <w:t>名称</w:t>
            </w:r>
          </w:p>
        </w:tc>
        <w:tc>
          <w:tcPr>
            <w:tcW w:w="243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hint="eastAsia" w:eastAsia="方正仿宋简体" w:cs="Times New Roman"/>
                <w:color w:val="auto"/>
                <w:sz w:val="32"/>
                <w:szCs w:val="32"/>
                <w:highlight w:val="none"/>
                <w:lang w:eastAsia="zh-CN"/>
              </w:rPr>
            </w:pPr>
            <w:r>
              <w:rPr>
                <w:rFonts w:hint="eastAsia" w:eastAsia="方正仿宋简体" w:cs="Times New Roman"/>
                <w:color w:val="auto"/>
                <w:sz w:val="32"/>
                <w:szCs w:val="32"/>
                <w:highlight w:val="none"/>
                <w:lang w:eastAsia="zh-CN"/>
              </w:rPr>
              <w:t>预期值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1</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生产安全事故死亡人数</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rPr>
              <w:t>下降1</w:t>
            </w:r>
            <w:r>
              <w:rPr>
                <w:rFonts w:hint="eastAsia" w:eastAsia="方正仿宋简体" w:cs="Times New Roman"/>
                <w:color w:val="auto"/>
                <w:sz w:val="32"/>
                <w:szCs w:val="32"/>
                <w:highlight w:val="none"/>
                <w:lang w:val="en-US" w:eastAsia="zh-CN"/>
              </w:rPr>
              <w:t>5</w:t>
            </w:r>
            <w:r>
              <w:rPr>
                <w:rFonts w:hint="eastAsia" w:eastAsia="方正仿宋简体" w:cs="Times New Roman"/>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2</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default" w:eastAsia="方正仿宋简体" w:cs="Times New Roman"/>
                <w:color w:val="auto"/>
                <w:sz w:val="32"/>
                <w:szCs w:val="32"/>
                <w:highlight w:val="none"/>
                <w:lang w:val="en-US" w:eastAsia="zh-CN"/>
              </w:rPr>
            </w:pPr>
            <w:r>
              <w:rPr>
                <w:rFonts w:hint="eastAsia" w:eastAsia="方正仿宋简体" w:cs="Times New Roman"/>
                <w:color w:val="auto"/>
                <w:sz w:val="32"/>
                <w:szCs w:val="32"/>
                <w:highlight w:val="none"/>
              </w:rPr>
              <w:t>亿元GDP生产事故死亡率</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lang w:eastAsia="zh-CN"/>
              </w:rPr>
              <w:t>下降</w:t>
            </w:r>
            <w:r>
              <w:rPr>
                <w:rFonts w:hint="eastAsia" w:eastAsia="方正仿宋简体" w:cs="Times New Roman"/>
                <w:color w:val="auto"/>
                <w:sz w:val="32"/>
                <w:szCs w:val="32"/>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3</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工矿商贸就业人员十万人生产安全事故死亡率</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rPr>
              <w:t>下降1</w:t>
            </w:r>
            <w:r>
              <w:rPr>
                <w:rFonts w:hint="eastAsia" w:eastAsia="方正仿宋简体" w:cs="Times New Roman"/>
                <w:color w:val="auto"/>
                <w:sz w:val="32"/>
                <w:szCs w:val="32"/>
                <w:highlight w:val="none"/>
                <w:lang w:val="en-US" w:eastAsia="zh-CN"/>
              </w:rPr>
              <w:t>5</w:t>
            </w:r>
            <w:r>
              <w:rPr>
                <w:rFonts w:hint="eastAsia" w:eastAsia="方正仿宋简体" w:cs="Times New Roman"/>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4</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lang w:eastAsia="zh-CN"/>
              </w:rPr>
            </w:pPr>
            <w:r>
              <w:rPr>
                <w:rFonts w:hint="eastAsia" w:eastAsia="方正仿宋简体" w:cs="Times New Roman"/>
                <w:color w:val="auto"/>
                <w:sz w:val="32"/>
                <w:szCs w:val="32"/>
                <w:highlight w:val="none"/>
              </w:rPr>
              <w:t>煤矿百万吨死亡率</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rPr>
              <w:t>下降</w:t>
            </w:r>
            <w:r>
              <w:rPr>
                <w:rFonts w:hint="eastAsia" w:eastAsia="方正仿宋简体" w:cs="Times New Roman"/>
                <w:color w:val="auto"/>
                <w:sz w:val="32"/>
                <w:szCs w:val="32"/>
                <w:highlight w:val="none"/>
                <w:lang w:val="en-US" w:eastAsia="zh-CN"/>
              </w:rPr>
              <w:t>5</w:t>
            </w:r>
            <w:r>
              <w:rPr>
                <w:rFonts w:hint="eastAsia" w:eastAsia="方正仿宋简体" w:cs="Times New Roman"/>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微软雅黑" w:cs="Times New Roman"/>
                <w:color w:val="auto"/>
                <w:sz w:val="32"/>
                <w:szCs w:val="32"/>
                <w:highlight w:val="none"/>
              </w:rPr>
            </w:pPr>
            <w:r>
              <w:rPr>
                <w:rFonts w:hint="eastAsia" w:eastAsia="微软雅黑" w:cs="Times New Roman"/>
                <w:color w:val="auto"/>
                <w:sz w:val="32"/>
                <w:szCs w:val="32"/>
                <w:highlight w:val="none"/>
              </w:rPr>
              <w:t>5</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eastAsia="方正仿宋简体" w:cs="Times New Roman"/>
                <w:strike w:val="0"/>
                <w:color w:val="auto"/>
                <w:sz w:val="32"/>
                <w:szCs w:val="32"/>
                <w:highlight w:val="none"/>
              </w:rPr>
            </w:pPr>
            <w:r>
              <w:rPr>
                <w:rFonts w:hint="eastAsia" w:eastAsia="方正仿宋简体" w:cs="Times New Roman"/>
                <w:strike w:val="0"/>
                <w:dstrike w:val="0"/>
                <w:color w:val="auto"/>
                <w:sz w:val="32"/>
                <w:szCs w:val="32"/>
                <w:highlight w:val="none"/>
              </w:rPr>
              <w:t>每百万人口年均因灾死亡率</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eastAsia" w:eastAsia="方正仿宋简体" w:cs="Times New Roman"/>
                <w:strike w:val="0"/>
                <w:dstrike w:val="0"/>
                <w:color w:val="auto"/>
                <w:sz w:val="32"/>
                <w:szCs w:val="32"/>
                <w:highlight w:val="none"/>
              </w:rPr>
            </w:pPr>
            <w:r>
              <w:rPr>
                <w:rFonts w:hint="eastAsia" w:eastAsia="方正仿宋简体" w:cs="Times New Roman"/>
                <w:strike w:val="0"/>
                <w:dstrike w:val="0"/>
                <w:color w:val="auto"/>
                <w:sz w:val="32"/>
                <w:szCs w:val="32"/>
                <w:highlight w:val="none"/>
                <w:lang w:val="en-US" w:eastAsia="zh-CN"/>
              </w:rPr>
              <w:t>&lt;</w:t>
            </w:r>
            <w:r>
              <w:rPr>
                <w:rFonts w:hint="eastAsia" w:eastAsia="方正仿宋简体" w:cs="Times New Roman"/>
                <w:strike w:val="0"/>
                <w:dstrike w:val="0"/>
                <w:color w:val="auto"/>
                <w:sz w:val="32"/>
                <w:szCs w:val="32"/>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00"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微软雅黑" w:cs="Times New Roman"/>
                <w:color w:val="auto"/>
                <w:sz w:val="32"/>
                <w:szCs w:val="32"/>
                <w:highlight w:val="none"/>
              </w:rPr>
            </w:pPr>
            <w:r>
              <w:rPr>
                <w:rFonts w:hint="eastAsia" w:eastAsia="微软雅黑" w:cs="Times New Roman"/>
                <w:color w:val="auto"/>
                <w:sz w:val="32"/>
                <w:szCs w:val="32"/>
                <w:highlight w:val="none"/>
              </w:rPr>
              <w:t>6</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年均因自然灾害直接经济损失占全市地区生产总值比例</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rPr>
                <w:rFonts w:hint="default" w:eastAsia="方正仿宋简体" w:cs="Times New Roman"/>
                <w:color w:val="auto"/>
                <w:sz w:val="32"/>
                <w:szCs w:val="32"/>
                <w:highlight w:val="none"/>
                <w:lang w:val="en-US" w:eastAsia="zh-CN"/>
              </w:rPr>
            </w:pPr>
            <w:r>
              <w:rPr>
                <w:rFonts w:hint="eastAsia" w:eastAsia="方正仿宋简体" w:cs="Times New Roman"/>
                <w:color w:val="auto"/>
                <w:sz w:val="32"/>
                <w:szCs w:val="32"/>
                <w:highlight w:val="none"/>
                <w:lang w:val="en-US" w:eastAsia="zh-CN"/>
              </w:rPr>
              <w:t>&lt;</w:t>
            </w:r>
            <w:r>
              <w:rPr>
                <w:rFonts w:hint="eastAsia" w:eastAsia="方正仿宋简体" w:cs="Times New Roman"/>
                <w:color w:val="auto"/>
                <w:sz w:val="32"/>
                <w:szCs w:val="32"/>
                <w:highlight w:val="none"/>
              </w:rPr>
              <w:t>0.8%</w:t>
            </w:r>
          </w:p>
        </w:tc>
      </w:tr>
    </w:tbl>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28" w:name="_Toc212236727"/>
      <w:bookmarkStart w:id="29" w:name="_Toc24457"/>
      <w:bookmarkStart w:id="30" w:name="_Hlk208933813"/>
      <w:bookmarkStart w:id="31" w:name="_Hlk211409661"/>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eastAsia="仿宋"/>
          <w:color w:val="auto"/>
          <w:szCs w:val="32"/>
          <w:highlight w:val="none"/>
        </w:rPr>
      </w:pPr>
      <w:r>
        <w:rPr>
          <w:rFonts w:hint="eastAsia" w:ascii="方正黑体简体" w:hAnsi="方正黑体简体" w:eastAsia="方正黑体简体" w:cs="方正黑体简体"/>
          <w:b/>
          <w:bCs/>
          <w:color w:val="auto"/>
          <w:szCs w:val="32"/>
          <w:highlight w:val="none"/>
        </w:rPr>
        <w:t>第四章  完善现代化应急指挥体系</w:t>
      </w:r>
      <w:bookmarkEnd w:id="28"/>
      <w:bookmarkEnd w:id="29"/>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立足大安全大应急框架，系统优化指挥层级设置与部门职责衔接，全面提升统一指挥、联合处置和综合保障能力，筑牢高效应对各类突发事件的指挥中枢。</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32" w:name="_Toc17391"/>
      <w:bookmarkStart w:id="33" w:name="_Toc212236728"/>
      <w:r>
        <w:rPr>
          <w:rFonts w:hint="eastAsia" w:ascii="方正楷体简体" w:hAnsi="方正楷体简体" w:eastAsia="方正楷体简体" w:cs="方正楷体简体"/>
          <w:color w:val="auto"/>
          <w:sz w:val="32"/>
          <w:highlight w:val="none"/>
        </w:rPr>
        <w:t>（一）健全应急指挥体系</w:t>
      </w:r>
      <w:bookmarkEnd w:id="32"/>
      <w:bookmarkEnd w:id="33"/>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构建统一权威、分级负责的应急指挥组织体系。明确市、县（市、区）、乡镇（街道）、村居（社区）四级指挥架构及</w:t>
      </w:r>
      <w:r>
        <w:rPr>
          <w:rFonts w:hint="eastAsia" w:eastAsia="方正仿宋简体" w:cs="Times New Roman"/>
          <w:color w:val="auto"/>
          <w:sz w:val="32"/>
          <w:szCs w:val="32"/>
          <w:highlight w:val="none"/>
        </w:rPr>
        <w:t>其</w:t>
      </w:r>
      <w:r>
        <w:rPr>
          <w:rFonts w:eastAsia="方正仿宋简体" w:cs="Times New Roman"/>
          <w:color w:val="auto"/>
          <w:sz w:val="32"/>
          <w:szCs w:val="32"/>
          <w:highlight w:val="none"/>
        </w:rPr>
        <w:t>职责权限，强化应急管理委员会在常态协调与非常态指挥中的核心统领作用。推进安全生产、自然灾害、公共卫生</w:t>
      </w:r>
      <w:r>
        <w:rPr>
          <w:rFonts w:hint="eastAsia" w:eastAsia="方正仿宋简体" w:cs="Times New Roman"/>
          <w:color w:val="auto"/>
          <w:sz w:val="32"/>
          <w:szCs w:val="32"/>
          <w:highlight w:val="none"/>
          <w:lang w:eastAsia="zh-CN"/>
        </w:rPr>
        <w:t>、社会安全</w:t>
      </w:r>
      <w:r>
        <w:rPr>
          <w:rFonts w:eastAsia="方正仿宋简体" w:cs="Times New Roman"/>
          <w:color w:val="auto"/>
          <w:sz w:val="32"/>
          <w:szCs w:val="32"/>
          <w:highlight w:val="none"/>
        </w:rPr>
        <w:t>等专项应急指挥部的规范化建设与职责界定</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确保应急响应启动后指挥体系能够迅速激活、高效运转。深化乡镇（街道）应急管理机构实体化运行，配备专职人员，将指挥效能延伸至村居（社区），构建平急转换高效、上下协同有序的现代化应急指挥体系。</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34" w:name="_Toc212236729"/>
      <w:bookmarkStart w:id="35" w:name="_Toc5930"/>
      <w:r>
        <w:rPr>
          <w:rFonts w:hint="eastAsia" w:ascii="方正楷体简体" w:hAnsi="方正楷体简体" w:eastAsia="方正楷体简体" w:cs="方正楷体简体"/>
          <w:color w:val="auto"/>
          <w:sz w:val="32"/>
          <w:highlight w:val="none"/>
        </w:rPr>
        <w:t>（二）完善协同联动与信息管理机制</w:t>
      </w:r>
      <w:bookmarkEnd w:id="34"/>
      <w:bookmarkEnd w:id="3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建立多部门、跨区域、军地联动的应急协同机制，完善联合值守与动态会商制度。明确军地间、政企间在信息</w:t>
      </w:r>
      <w:r>
        <w:rPr>
          <w:rFonts w:hint="eastAsia" w:eastAsia="方正仿宋简体" w:cs="Times New Roman"/>
          <w:color w:val="auto"/>
          <w:sz w:val="32"/>
          <w:szCs w:val="32"/>
          <w:highlight w:val="none"/>
        </w:rPr>
        <w:t>互通</w:t>
      </w:r>
      <w:r>
        <w:rPr>
          <w:rFonts w:eastAsia="方正仿宋简体" w:cs="Times New Roman"/>
          <w:color w:val="auto"/>
          <w:sz w:val="32"/>
          <w:szCs w:val="32"/>
          <w:highlight w:val="none"/>
        </w:rPr>
        <w:t>、资源协同和行动配合中的工作机制，形成风险联防、灾情联控的整体合力。规范信息报送流程与责任主体，压实企业信息报告法定义务，拓宽信息获取渠道。打破部门信息壁垒，构建信息收集、研判、流转、应用的闭环管理体系，实现跨部门、跨层级的高效协同联动和精准信息管理，全面提升应急响应整体效能。</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36" w:name="_Toc212236730"/>
      <w:bookmarkStart w:id="37" w:name="_Toc6175"/>
      <w:r>
        <w:rPr>
          <w:rFonts w:hint="eastAsia" w:ascii="方正楷体简体" w:hAnsi="方正楷体简体" w:eastAsia="方正楷体简体" w:cs="方正楷体简体"/>
          <w:color w:val="auto"/>
          <w:sz w:val="32"/>
          <w:highlight w:val="none"/>
        </w:rPr>
        <w:t>（三）提升指挥决策支持与综合保障能力</w:t>
      </w:r>
      <w:bookmarkEnd w:id="36"/>
      <w:bookmarkEnd w:id="3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构建空天地一体、多元互补的应急指挥通信网络，推进应急</w:t>
      </w:r>
      <w:r>
        <w:rPr>
          <w:rFonts w:hint="eastAsia" w:eastAsia="方正仿宋简体" w:cs="Times New Roman"/>
          <w:color w:val="auto"/>
          <w:sz w:val="32"/>
          <w:szCs w:val="32"/>
          <w:highlight w:val="none"/>
        </w:rPr>
        <w:t>指挥“</w:t>
      </w:r>
      <w:r>
        <w:rPr>
          <w:rFonts w:eastAsia="方正仿宋简体" w:cs="Times New Roman"/>
          <w:color w:val="auto"/>
          <w:sz w:val="32"/>
          <w:szCs w:val="32"/>
          <w:highlight w:val="none"/>
        </w:rPr>
        <w:t>一张图</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系统</w:t>
      </w:r>
      <w:r>
        <w:rPr>
          <w:rFonts w:hint="eastAsia" w:eastAsia="方正仿宋简体" w:cs="Times New Roman"/>
          <w:color w:val="auto"/>
          <w:sz w:val="32"/>
          <w:szCs w:val="32"/>
          <w:highlight w:val="none"/>
        </w:rPr>
        <w:t>应用</w:t>
      </w:r>
      <w:r>
        <w:rPr>
          <w:rFonts w:eastAsia="方正仿宋简体" w:cs="Times New Roman"/>
          <w:color w:val="auto"/>
          <w:sz w:val="32"/>
          <w:szCs w:val="32"/>
          <w:highlight w:val="none"/>
        </w:rPr>
        <w:t>，整合地理信息、风险隐患、应急资源等核心数据，</w:t>
      </w:r>
      <w:r>
        <w:rPr>
          <w:rFonts w:hint="eastAsia" w:eastAsia="方正仿宋简体" w:cs="Times New Roman"/>
          <w:color w:val="auto"/>
          <w:sz w:val="32"/>
          <w:szCs w:val="32"/>
          <w:highlight w:val="none"/>
        </w:rPr>
        <w:t>利用物联网、卫星遥感、现场终端等实时数据，动态感知风险与灾情态势，通过“一张图”系统实现指挥全过程的可视化呈现与交互操作，</w:t>
      </w:r>
      <w:r>
        <w:rPr>
          <w:rFonts w:eastAsia="方正仿宋简体" w:cs="Times New Roman"/>
          <w:color w:val="auto"/>
          <w:sz w:val="32"/>
          <w:szCs w:val="32"/>
          <w:highlight w:val="none"/>
        </w:rPr>
        <w:t>保障极端条件下的指令畅通。</w:t>
      </w:r>
      <w:r>
        <w:rPr>
          <w:rFonts w:hint="eastAsia" w:eastAsia="方正仿宋简体" w:cs="Times New Roman"/>
          <w:color w:val="auto"/>
          <w:sz w:val="32"/>
          <w:szCs w:val="32"/>
          <w:highlight w:val="none"/>
        </w:rPr>
        <w:t>推动</w:t>
      </w:r>
      <w:r>
        <w:rPr>
          <w:rFonts w:eastAsia="方正仿宋简体" w:cs="Times New Roman"/>
          <w:color w:val="auto"/>
          <w:sz w:val="32"/>
          <w:szCs w:val="32"/>
          <w:highlight w:val="none"/>
        </w:rPr>
        <w:t>大数据、人工智能等技术在风险模拟、灾情评估、方案生成等关键环节的应用，强化科技支撑与决策辅助能力</w:t>
      </w:r>
      <w:r>
        <w:rPr>
          <w:rFonts w:hint="eastAsia" w:eastAsia="方正仿宋简体"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38" w:name="_Toc29057"/>
      <w:r>
        <w:rPr>
          <w:rFonts w:hint="eastAsia" w:ascii="方正楷体简体" w:hAnsi="方正楷体简体" w:eastAsia="方正楷体简体" w:cs="方正楷体简体"/>
          <w:color w:val="auto"/>
          <w:sz w:val="32"/>
          <w:highlight w:val="none"/>
        </w:rPr>
        <w:t>（四）强化应急指挥处置能力</w:t>
      </w:r>
      <w:bookmarkEnd w:id="3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健全突发事件现场指挥处置机制，规范现场指挥部运行标准和工作流程，明确指挥层级权责关系，确保指令高效直达一线。完善前后方指挥部联动机制，建立信息实时互通、指令同步下达的协同模式。加强现场态势感知能力，综合运用无人机、移动布控球等技术手段，实现现场画面实时回传和动态研判。优化救援力量现场调度流程，建立分级响应、梯次投入的力量调用模式，确保各类专业力量有序衔接、协同作战。健全现场管控、交通疏导、医疗救治、物资补给等配套保障机制，提升复杂条件下持续作战能力。建立现场处置记录和复盘评估制度，及时总结经验教训，持续改进指挥处置流程。</w:t>
      </w:r>
      <w:bookmarkStart w:id="39" w:name="_Toc212236731"/>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40" w:name="_Toc11273"/>
      <w:r>
        <w:rPr>
          <w:rFonts w:hint="eastAsia" w:ascii="方正黑体简体" w:hAnsi="方正黑体简体" w:eastAsia="方正黑体简体" w:cs="方正黑体简体"/>
          <w:b/>
          <w:bCs/>
          <w:color w:val="auto"/>
          <w:szCs w:val="32"/>
          <w:highlight w:val="none"/>
        </w:rPr>
        <w:t>第五章  深化安全生产源头治理</w:t>
      </w:r>
      <w:bookmarkEnd w:id="4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坚持预防为主、关口前移，把源头管控作为防范化解安全风险的根本之策。严格安全准入标准，加快落后工艺技术装备淘汰退出，推动企业技术装备升级和安全管理模式创新，全面提升企业本质安全水平。</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1" w:name="_Toc22035"/>
      <w:r>
        <w:rPr>
          <w:rFonts w:hint="eastAsia" w:ascii="方正楷体简体" w:hAnsi="方正楷体简体" w:eastAsia="方正楷体简体" w:cs="方正楷体简体"/>
          <w:color w:val="auto"/>
          <w:sz w:val="32"/>
          <w:highlight w:val="none"/>
        </w:rPr>
        <w:t>（一）严格安全准入管控</w:t>
      </w:r>
      <w:bookmarkEnd w:id="4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坚持严格准入与强化监管相结合，构建覆盖项目全周期的安全管理体系。完善安全准入管控机制，立足源头管控，严格安全准入审查门槛，严格执行高危行业准入标准。加强产业政策动态协同与合规性审查，确保项目从源头符合安全发展要求。健全安全审查监管体系，建立多部门联合审查机制，系统评估项目选址、工艺技术等安全条件，严格实施安全设施“三同时”审查，将安全审查嵌入项目审批全流程，强化从立项预评估、设计审查、施工监督到竣工验收各环节的监管衔接，实现安全风险全过程闭环管控</w:t>
      </w:r>
      <w:r>
        <w:rPr>
          <w:rFonts w:eastAsia="方正仿宋简体"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2" w:name="_Toc514"/>
      <w:r>
        <w:rPr>
          <w:rFonts w:hint="eastAsia" w:ascii="方正楷体简体" w:hAnsi="方正楷体简体" w:eastAsia="方正楷体简体" w:cs="方正楷体简体"/>
          <w:color w:val="auto"/>
          <w:sz w:val="32"/>
          <w:highlight w:val="none"/>
        </w:rPr>
        <w:t>（二）加快落后工艺装备淘汰</w:t>
      </w:r>
      <w:bookmarkEnd w:id="42"/>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严格执行国家和行业发布的《落后工艺及设备淘汰目录》，建立常态化排查与联动执法机制，对安全设施不达标、工艺技术落后、风险防控能力不足的企业和项目，依法依规推动整改与淘汰，鼓励企业采用先进生产工艺和技术装备。</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3" w:name="_Toc6975"/>
      <w:r>
        <w:rPr>
          <w:rFonts w:hint="eastAsia" w:ascii="方正楷体简体" w:hAnsi="方正楷体简体" w:eastAsia="方正楷体简体" w:cs="方正楷体简体"/>
          <w:color w:val="auto"/>
          <w:sz w:val="32"/>
          <w:highlight w:val="none"/>
        </w:rPr>
        <w:t>（三）提升本质安全水平</w:t>
      </w:r>
      <w:bookmarkEnd w:id="43"/>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加大安全技术改造政策支持与资金投入力度，引导企业开展智能化改造和数字化升级。在矿山、危化等重点行业广泛推广应用智能监控、自动报警和远程操控等技术装备，有效减少高危岗位作业人员数量，推动高风险岗位和环节由“人防”向“技防”转变。推动企业建设数字化管理平台，强化对设备设施运行状态的在线监控与预测性维护，实现生产安全数据的实时分析与风险预警，通过技术赋能显著降低系统性安全风险，构建自主预警、主动防护的本质安全防控体系。</w:t>
      </w:r>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44" w:name="_Toc26333"/>
      <w:r>
        <w:rPr>
          <w:rFonts w:hint="eastAsia" w:ascii="方正黑体简体" w:hAnsi="方正黑体简体" w:eastAsia="方正黑体简体" w:cs="方正黑体简体"/>
          <w:b/>
          <w:bCs/>
          <w:color w:val="auto"/>
          <w:szCs w:val="32"/>
          <w:highlight w:val="none"/>
        </w:rPr>
        <w:t>第六章  强化重点领域安全风险管控</w:t>
      </w:r>
      <w:bookmarkEnd w:id="44"/>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eastAsia="方正仿宋简体" w:cs="Times New Roman"/>
          <w:color w:val="auto"/>
          <w:sz w:val="32"/>
          <w:szCs w:val="32"/>
          <w:highlight w:val="none"/>
        </w:rPr>
        <w:t>坚持系统治理、精准施策，以</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源头严控、过程严管、后果严惩</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为导向，聚焦安全生产全链条风险防控，推动安全治理从</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事后处置</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向</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事前预防</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转型，构建覆盖各行业、各环节的安全生产风险防控屏障。</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5" w:name="_Toc12979"/>
      <w:r>
        <w:rPr>
          <w:rFonts w:hint="eastAsia" w:ascii="方正楷体简体" w:hAnsi="方正楷体简体" w:eastAsia="方正楷体简体" w:cs="方正楷体简体"/>
          <w:color w:val="auto"/>
          <w:sz w:val="32"/>
          <w:highlight w:val="none"/>
        </w:rPr>
        <w:t>（一）规范新兴行业领域监管</w:t>
      </w:r>
      <w:bookmarkEnd w:id="4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压紧压实新兴行业、领域安全监管责任。建立新兴行业、领域安全风险动态评估机制，系统识别新工艺、新技术、新材料应用带来的潜在风险。针对性制定并推广安全风险防控指南与标准规范，引导企业自主建设并有效运行安全风险防控体系，实现新兴领域安全监管从“被动应对”到“主动引导”的转变。</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6" w:name="_Toc9491"/>
      <w:r>
        <w:rPr>
          <w:rFonts w:hint="eastAsia" w:ascii="方正楷体简体" w:hAnsi="方正楷体简体" w:eastAsia="方正楷体简体" w:cs="方正楷体简体"/>
          <w:color w:val="auto"/>
          <w:sz w:val="32"/>
          <w:highlight w:val="none"/>
        </w:rPr>
        <w:t>（二）加大小微企业安全生产精准帮扶</w:t>
      </w:r>
      <w:bookmarkEnd w:id="46"/>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开展小微企业安全生产基础情况普查，精准识别其在安全管理、风险防控、安全投入等方面的共性短板与个性化需求。推动构建适配小微企业的差异化安全管理标准与规范化建设指南，建设安全培训共享资源库，培育一批安全生产标杆企业，有效提升小微企业自主管理能力和本质安全水平。</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7" w:name="_Toc26240"/>
      <w:r>
        <w:rPr>
          <w:rFonts w:hint="eastAsia" w:ascii="方正楷体简体" w:hAnsi="方正楷体简体" w:eastAsia="方正楷体简体" w:cs="方正楷体简体"/>
          <w:color w:val="auto"/>
          <w:sz w:val="32"/>
          <w:highlight w:val="none"/>
        </w:rPr>
        <w:t>（三）狠抓重点行业领域安全整治</w:t>
      </w:r>
      <w:bookmarkEnd w:id="4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以治本攻坚三年行动为总抓手，紧盯</w:t>
      </w:r>
      <w:r>
        <w:rPr>
          <w:rFonts w:hint="eastAsia" w:eastAsia="方正仿宋简体" w:cs="Times New Roman"/>
          <w:color w:val="auto"/>
          <w:sz w:val="32"/>
          <w:szCs w:val="32"/>
          <w:highlight w:val="none"/>
          <w:lang w:eastAsia="zh-CN"/>
        </w:rPr>
        <w:t>矿山</w:t>
      </w:r>
      <w:r>
        <w:rPr>
          <w:rFonts w:hint="eastAsia" w:eastAsia="方正仿宋简体" w:cs="Times New Roman"/>
          <w:color w:val="auto"/>
          <w:sz w:val="32"/>
          <w:szCs w:val="32"/>
          <w:highlight w:val="none"/>
        </w:rPr>
        <w:t>、危化品、交通、建筑施工、旅游、消防等重点领域，制定实施“一行业一方案”专项整治计划。深化重大事故隐患动态排查与清零，推动企业主体责任落实量化提升，切实解决重点领域突出矛盾和深层次问题，提升行业整体安全水平。</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w:t>
      </w:r>
      <w:r>
        <w:rPr>
          <w:rFonts w:eastAsia="仿宋"/>
          <w:b/>
          <w:bCs/>
          <w:color w:val="auto"/>
          <w:sz w:val="32"/>
          <w:szCs w:val="32"/>
          <w:highlight w:val="none"/>
        </w:rPr>
        <w:t>危险化学品安全风险排查整治。</w:t>
      </w:r>
      <w:r>
        <w:rPr>
          <w:rFonts w:hint="eastAsia" w:eastAsia="方正仿宋简体"/>
          <w:color w:val="auto"/>
          <w:sz w:val="32"/>
          <w:szCs w:val="32"/>
          <w:highlight w:val="none"/>
        </w:rPr>
        <w:t>推行过程安全管理体系，对化学品生产、储存、使用、处置等全流程涉及的工艺、设备、电气、仪表等系统实施系统化管理与技术控制，从根源上管控风险、消除隐患。宣贯落实《中华人民共和国危险化学品安全法》，严密管控危险化学品生产、储存、使用、经营和运输全链条、各环节重大安全风险，严格落实化工园区安全风险评估。推进危化品重大危险源企业“消地协作”专项检查，鼓励危化品企业建设应用人员定位系统并接入省风险监测预警系统。构建重大事故隐患常态化排查整治长效机制，推动重大事故隐患“动态清零”。持续推进危险化学品安全生产“机械化换人、自动化减人、智能化无人”工程，推动重点监管的危险化工工艺实现全流程自动化控制，深化人员定位、特殊作业、智能巡检等“工业互联网+危化安全生产”场景建设应用。推进老旧化工装置淘汰更新，强化对锂电池电解液等化工新业态、新材料的风险识别与管控。持续加强烟花爆竹经营环节源头管控，推进烟花爆竹批发企业仓库对标改造提升工程，不断完善日常安全监管体系，保持“打非治违”高压态势。</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2.</w:t>
      </w:r>
      <w:r>
        <w:rPr>
          <w:rFonts w:eastAsia="仿宋"/>
          <w:b/>
          <w:bCs/>
          <w:color w:val="auto"/>
          <w:sz w:val="32"/>
          <w:szCs w:val="32"/>
          <w:highlight w:val="none"/>
        </w:rPr>
        <w:t>深化</w:t>
      </w:r>
      <w:r>
        <w:rPr>
          <w:rFonts w:hint="eastAsia" w:eastAsia="仿宋"/>
          <w:b/>
          <w:bCs/>
          <w:color w:val="auto"/>
          <w:sz w:val="32"/>
          <w:szCs w:val="32"/>
          <w:highlight w:val="none"/>
        </w:rPr>
        <w:t>非煤矿山</w:t>
      </w:r>
      <w:r>
        <w:rPr>
          <w:rFonts w:eastAsia="仿宋"/>
          <w:b/>
          <w:bCs/>
          <w:color w:val="auto"/>
          <w:sz w:val="32"/>
          <w:szCs w:val="32"/>
          <w:highlight w:val="none"/>
        </w:rPr>
        <w:t>领域安全整治。</w:t>
      </w:r>
      <w:r>
        <w:rPr>
          <w:rFonts w:hint="eastAsia" w:eastAsia="方正仿宋简体"/>
          <w:color w:val="auto"/>
          <w:sz w:val="32"/>
          <w:szCs w:val="32"/>
          <w:highlight w:val="none"/>
        </w:rPr>
        <w:t>强化科技赋能安全生产，推进企业加快机械化、自动化、信息化和智能化建设进程，推广无人驾驶、遥控作业等先进技术装备，推动高危岗位人员减量，从根源上降低人员作业安全风险，全面提升本质安全水平。督促非煤矿山企业构建以安全理念文化为引领、安全制度文化为保障、安全环境文化为支撑、安全行为文化为展现的“四位一体”矿山安全文化体系，不断提升企业安全发展质量和水平，推动安全治理模式向事前预防转型。持续强化隐患排查治理，深化“监管+服务”机制，对企业开展精准帮扶指导，切实解决企业安全管理实际难题。</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lang w:val="en-US" w:eastAsia="zh-CN"/>
        </w:rPr>
        <w:t>3</w:t>
      </w:r>
      <w:r>
        <w:rPr>
          <w:rFonts w:hint="eastAsia" w:eastAsia="仿宋"/>
          <w:b/>
          <w:bCs/>
          <w:color w:val="auto"/>
          <w:sz w:val="32"/>
          <w:szCs w:val="32"/>
          <w:highlight w:val="none"/>
        </w:rPr>
        <w:t>.</w:t>
      </w:r>
      <w:r>
        <w:rPr>
          <w:rFonts w:eastAsia="仿宋"/>
          <w:b/>
          <w:bCs/>
          <w:color w:val="auto"/>
          <w:sz w:val="32"/>
          <w:szCs w:val="32"/>
          <w:highlight w:val="none"/>
        </w:rPr>
        <w:t>深化煤矿领域安全整治</w:t>
      </w:r>
      <w:r>
        <w:rPr>
          <w:rFonts w:hint="eastAsia" w:eastAsia="仿宋"/>
          <w:b/>
          <w:bCs/>
          <w:color w:val="auto"/>
          <w:sz w:val="32"/>
          <w:szCs w:val="32"/>
          <w:highlight w:val="none"/>
        </w:rPr>
        <w:t>。</w:t>
      </w:r>
      <w:r>
        <w:rPr>
          <w:rFonts w:hint="eastAsia" w:eastAsia="方正仿宋简体"/>
          <w:color w:val="auto"/>
          <w:sz w:val="32"/>
          <w:szCs w:val="32"/>
          <w:highlight w:val="none"/>
        </w:rPr>
        <w:t>持续整治企业主体责任落实不到位、安全管理措施落实不到位等违法违规行为，紧盯双重预防体系建设、煤矿安全监管执法效能强化、煤矿职工安全素质提升、重大灾害防治等关键点，坚决杜绝重特大以上事故、防范遏制较大以上事故，确保安全生产形势持续稳定。进一步优化煤矿安全生产综合信息平台，满足相关信息安全要求，完善监测监控、人员定位等系统功能，为煤矿安全监管提供强有力辅助。加快人工智能与煤矿安全生产深度融合，推动省属及部分市县属煤矿完成人工智能场景建设、煤炭智能化开采产量（不含充填开采产量）占比达到95%以上，稳步提升煤矿危险繁重岗位的作业智能装备和机器人替代率。提高煤矿安全监管执法队伍保障，配齐配强专业执法力量，加强执法人员能力培训，强化监管执法必要保障。</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lang w:val="en-US" w:eastAsia="zh-CN"/>
        </w:rPr>
        <w:t>4.</w:t>
      </w:r>
      <w:r>
        <w:rPr>
          <w:rFonts w:eastAsia="仿宋"/>
          <w:b/>
          <w:bCs/>
          <w:color w:val="auto"/>
          <w:sz w:val="32"/>
          <w:szCs w:val="32"/>
          <w:highlight w:val="none"/>
        </w:rPr>
        <w:t>工贸行业安全领域整治。</w:t>
      </w:r>
      <w:r>
        <w:rPr>
          <w:rFonts w:hint="eastAsia" w:eastAsia="方正仿宋简体"/>
          <w:color w:val="auto"/>
          <w:sz w:val="32"/>
          <w:szCs w:val="32"/>
          <w:highlight w:val="none"/>
        </w:rPr>
        <w:t>持续深化违规电气焊、有限空间作业、预防高处坠落、外包施工、厂中厂园中园等重点环节整治，开展重点领域专家指导服务，推广“动员培训、现场会诊、交流研讨、讲评反馈”四位一体工作模式。强化科技支撑，加快安全风险监测预警系统建设应用，推动铝加工（深井铸造）、粉尘涉爆等重点领域监管数字化转型，依托分类分级监管平台实现精准化、智能化监管。着力破解中小微企业安全管理短板，量身定制安全管理指南，切实提升其自主管理能力。规范安全培训考核，强化企业主要负责人与从业人员安全素质能力，加大典型事故警示教育力度。通过严格精准执法、推进“互联网+执法”应用，全面提升安全监管执法效能。</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lang w:val="en-US" w:eastAsia="zh-CN"/>
        </w:rPr>
        <w:t>5</w:t>
      </w:r>
      <w:r>
        <w:rPr>
          <w:rFonts w:hint="eastAsia" w:eastAsia="仿宋"/>
          <w:b/>
          <w:bCs/>
          <w:color w:val="auto"/>
          <w:sz w:val="32"/>
          <w:szCs w:val="32"/>
          <w:highlight w:val="none"/>
        </w:rPr>
        <w:t>.</w:t>
      </w:r>
      <w:r>
        <w:rPr>
          <w:rFonts w:eastAsia="仿宋"/>
          <w:b/>
          <w:bCs/>
          <w:color w:val="auto"/>
          <w:sz w:val="32"/>
          <w:szCs w:val="32"/>
          <w:highlight w:val="none"/>
        </w:rPr>
        <w:t>道路交通安全领域整治。</w:t>
      </w:r>
      <w:r>
        <w:rPr>
          <w:rFonts w:hint="eastAsia" w:eastAsia="方正仿宋简体"/>
          <w:color w:val="auto"/>
          <w:sz w:val="32"/>
          <w:szCs w:val="32"/>
          <w:highlight w:val="none"/>
        </w:rPr>
        <w:t>持续推进隐患大排查大整治，协同相关部门加快事故多发易发路段治理，强化交警中队基层基础与农村道路交通安全设施建设，提升农村地区本质安全水平；优化城市交通精细化管理，增强交通感知与路网通行效能，深化交管政务服务数智化转型，提供更智能精准、普惠均衡的公共服务。深化沿线环境综合治理，针对轻硬飘浮物、树植侵限、非法烧荒、违法施工等典型隐患实施分类管控与源头治理，保障铁路运行安全畅通；开展机场净空与电磁环境保护专项整治，完善航空器应急救援体系，强化空防安全风险管控。水上交通安全监管聚焦渡口客运、港口作业等关键环节与客货船舶事故预防，探索构建以“人防、物防、技防、联防”为核心的“四防一体”助防机制，提升监管效能。统筹加强路网运行监测与交通应急指挥调度，保障综合运输通道畅通；深入开展货车非法改装及“大吨小标”问题治理，依法打击违法生产改装行为，强化危险货物道路运输安全监管，整治不合格罐车及非法夹带危险品行为；持续曝光“高危风险企业”和“终生禁驾人员”，压实道路运输企业主体责任，强化车辆动态监控与重点时段抽查，系统提升交通运输整体安全水平。</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lang w:val="en-US" w:eastAsia="zh-CN"/>
        </w:rPr>
        <w:t>6</w:t>
      </w:r>
      <w:r>
        <w:rPr>
          <w:rFonts w:hint="eastAsia" w:eastAsia="仿宋"/>
          <w:b/>
          <w:bCs/>
          <w:color w:val="auto"/>
          <w:sz w:val="32"/>
          <w:szCs w:val="32"/>
          <w:highlight w:val="none"/>
        </w:rPr>
        <w:t>.</w:t>
      </w:r>
      <w:r>
        <w:rPr>
          <w:rFonts w:eastAsia="仿宋"/>
          <w:b/>
          <w:bCs/>
          <w:color w:val="auto"/>
          <w:sz w:val="32"/>
          <w:szCs w:val="32"/>
          <w:highlight w:val="none"/>
        </w:rPr>
        <w:t>深化建筑施工领域安全整治</w:t>
      </w:r>
      <w:r>
        <w:rPr>
          <w:rFonts w:eastAsia="仿宋"/>
          <w:color w:val="auto"/>
          <w:sz w:val="32"/>
          <w:szCs w:val="32"/>
          <w:highlight w:val="none"/>
        </w:rPr>
        <w:t>。</w:t>
      </w:r>
      <w:r>
        <w:rPr>
          <w:rFonts w:hint="eastAsia" w:eastAsia="方正仿宋简体"/>
          <w:color w:val="auto"/>
          <w:sz w:val="32"/>
          <w:szCs w:val="32"/>
          <w:highlight w:val="none"/>
        </w:rPr>
        <w:t>强化重点领域风险管控。着力在施工安全事前预防机制、施工安全信息化监管体系、市场现场监管有效联动机制、安全生产监督执法能力、企业本质安全水平、安全生产文化建设等六个方面，补短板、强弱项，推动房屋市政工程安全生产水平迈上新台阶。严格高支模、深基坑、起重机械、脚手架等危大工程安全管理，加强高处坠落、物体打击等多发事故类型防范；严格规范施工安全监管执法行为，强化隐患倒查追责、事故即行问责，提升施工安全治理能力，落实企业主体责任，完善安全文明标准化工地培育管理，加快推进施工安全双重预防体系建设。落实参建各方主体责任，健全完善“两书一牌”等质量终身责任制追溯机制。加强建筑用钢筋、水泥、防水材料、保温材料等重要材料质量管理，配合多部门联动查处生产、销售、使用等环节违法违规行为。强化工程质量全过程监管，加强工程质量安全监督队伍建设，鼓励通过政府购买服务方式委托专业力量开展巡查抽查。</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7.</w:t>
      </w:r>
      <w:r>
        <w:rPr>
          <w:rFonts w:eastAsia="仿宋"/>
          <w:b/>
          <w:bCs/>
          <w:color w:val="auto"/>
          <w:sz w:val="32"/>
          <w:szCs w:val="32"/>
          <w:highlight w:val="none"/>
        </w:rPr>
        <w:t>加强民用爆炸物品领域安全整治。</w:t>
      </w:r>
      <w:r>
        <w:rPr>
          <w:rFonts w:hint="eastAsia" w:eastAsia="方正仿宋简体"/>
          <w:color w:val="auto"/>
          <w:sz w:val="32"/>
          <w:szCs w:val="32"/>
          <w:highlight w:val="none"/>
        </w:rPr>
        <w:t>强化企业主体责任落实，坚持事前预防原则，持续抓好《从严管控民用爆炸物品十条规定》落实，全面排查购买、运输、储存、领用、使用、清退等环节风险隐患，坚决杜绝重特大爆炸事故发生。坚持问题导向，持续推进民用爆炸物品信息化、规范化、智能化监管，实现治理能力水平不断提升。</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8.</w:t>
      </w:r>
      <w:r>
        <w:rPr>
          <w:rFonts w:eastAsia="仿宋"/>
          <w:b/>
          <w:bCs/>
          <w:color w:val="auto"/>
          <w:sz w:val="32"/>
          <w:szCs w:val="32"/>
          <w:highlight w:val="none"/>
        </w:rPr>
        <w:t>深化燃气领域安全整治。</w:t>
      </w:r>
      <w:r>
        <w:rPr>
          <w:rFonts w:hint="eastAsia" w:eastAsia="方正仿宋简体"/>
          <w:color w:val="auto"/>
          <w:sz w:val="32"/>
          <w:szCs w:val="32"/>
          <w:highlight w:val="none"/>
        </w:rPr>
        <w:t>严格规划建设管理，将燃气专项规划纳入城市总体规划，合理布局燃气设施，确保燃气设施建设与城市发展相协调。加强燃气工程建设项目管理，确保工程建设质量。推进燃气安全隐患排查治理。建立常态化隐患排查机制，督促燃气企业制定隐患排查治理计划，定期开展燃气设施设备的全面排查。持续开展城镇燃气安全专项整治，加强对餐饮场所、老旧小区、人员密集场所等重点区域的燃气安全检查，加大对燃气管道占压、私接乱改等突出问题的整治力度。利用全省统一的燃气安全风险监测预警平台</w:t>
      </w:r>
      <w:r>
        <w:rPr>
          <w:rFonts w:hint="eastAsia" w:eastAsia="方正仿宋简体"/>
          <w:color w:val="auto"/>
          <w:sz w:val="32"/>
          <w:szCs w:val="32"/>
          <w:highlight w:val="none"/>
          <w:lang w:eastAsia="zh-CN"/>
        </w:rPr>
        <w:t>，</w:t>
      </w:r>
      <w:r>
        <w:rPr>
          <w:rFonts w:hint="eastAsia" w:eastAsia="方正仿宋简体"/>
          <w:color w:val="auto"/>
          <w:sz w:val="32"/>
          <w:szCs w:val="32"/>
          <w:highlight w:val="none"/>
          <w:lang w:val="en-US" w:eastAsia="zh-CN"/>
        </w:rPr>
        <w:t>通过</w:t>
      </w:r>
      <w:r>
        <w:rPr>
          <w:rFonts w:hint="eastAsia" w:eastAsia="方正仿宋简体"/>
          <w:color w:val="auto"/>
          <w:sz w:val="32"/>
          <w:szCs w:val="32"/>
          <w:highlight w:val="none"/>
        </w:rPr>
        <w:t>物联网、大数据、人工智能等技术，实现对燃气管道压力、流量、浓度等关键数据的实时监测和分析预警。建立风险分级管控机制，对燃气安全风险进行全面辨识和评估，按照风险等级实施差异化管控，落实风险管控责任和措施。</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9.</w:t>
      </w:r>
      <w:r>
        <w:rPr>
          <w:rFonts w:eastAsia="仿宋"/>
          <w:b/>
          <w:bCs/>
          <w:color w:val="auto"/>
          <w:sz w:val="32"/>
          <w:szCs w:val="32"/>
          <w:highlight w:val="none"/>
        </w:rPr>
        <w:t>深化</w:t>
      </w:r>
      <w:r>
        <w:rPr>
          <w:rFonts w:hint="eastAsia" w:eastAsia="仿宋"/>
          <w:b/>
          <w:bCs/>
          <w:color w:val="auto"/>
          <w:sz w:val="32"/>
          <w:szCs w:val="32"/>
          <w:highlight w:val="none"/>
        </w:rPr>
        <w:t>消防</w:t>
      </w:r>
      <w:r>
        <w:rPr>
          <w:rFonts w:eastAsia="仿宋"/>
          <w:b/>
          <w:bCs/>
          <w:color w:val="auto"/>
          <w:sz w:val="32"/>
          <w:szCs w:val="32"/>
          <w:highlight w:val="none"/>
        </w:rPr>
        <w:t>领域安全整治。</w:t>
      </w:r>
      <w:r>
        <w:rPr>
          <w:rFonts w:hint="eastAsia" w:eastAsia="方正仿宋简体"/>
          <w:color w:val="auto"/>
          <w:sz w:val="32"/>
          <w:szCs w:val="32"/>
          <w:highlight w:val="none"/>
        </w:rPr>
        <w:t>聚焦大型商业综合体、高层建筑、学校医院、文博古建、</w:t>
      </w:r>
      <w:r>
        <w:rPr>
          <w:rFonts w:hint="eastAsia" w:eastAsia="方正仿宋简体"/>
          <w:color w:val="auto"/>
          <w:sz w:val="32"/>
          <w:szCs w:val="32"/>
          <w:highlight w:val="none"/>
          <w:lang w:eastAsia="zh-CN"/>
        </w:rPr>
        <w:t>危化企业</w:t>
      </w:r>
      <w:r>
        <w:rPr>
          <w:rFonts w:hint="eastAsia" w:eastAsia="方正仿宋简体"/>
          <w:color w:val="auto"/>
          <w:sz w:val="32"/>
          <w:szCs w:val="32"/>
          <w:highlight w:val="none"/>
        </w:rPr>
        <w:t>等高风险场所，以及多业态混合经营、家庭加工作坊、“九小场所”等薄弱环节，持续推进隐患排查整治攻坚。扎实开展电动自行车违规停放充电全链条治理，常态化推进人员密集场所外窗铁栅栏、广告牌清理，畅通生命通道。深化行业系统消防安全标准化创建，分行业打造标杆示范单位，以点带面提升本质安全水平。推广应用“火灾风险监测预警平台”，推动消防数据与市级应急指挥平台互联互通，提升智慧化防控能力。依托基层网格化综治平台嵌入消防管理模块，推动乡镇（街道）设立应急消防工作岗位，配齐配强专职力量，打通基层消防安全“最后一公里”。坚持政治建队、素质强队，严格落实全面从严治党、从严治队要求，加强消防人才队伍历练，着力锻造堪当时代重任的消防救援队伍。坚持训战一体、实战导向，强化攻坚打赢能力建设，为济宁现代化强市建设提供坚实消防安全保障。</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hint="eastAsia" w:eastAsia="方正仿宋简体"/>
          <w:color w:val="auto"/>
          <w:sz w:val="32"/>
          <w:szCs w:val="32"/>
          <w:highlight w:val="none"/>
        </w:rPr>
      </w:pPr>
      <w:r>
        <w:rPr>
          <w:rFonts w:hint="eastAsia" w:eastAsia="仿宋"/>
          <w:b/>
          <w:bCs/>
          <w:color w:val="auto"/>
          <w:sz w:val="32"/>
          <w:szCs w:val="32"/>
          <w:highlight w:val="none"/>
        </w:rPr>
        <w:t>10.</w:t>
      </w:r>
      <w:r>
        <w:rPr>
          <w:rFonts w:eastAsia="仿宋"/>
          <w:b/>
          <w:bCs/>
          <w:color w:val="auto"/>
          <w:sz w:val="32"/>
          <w:szCs w:val="32"/>
          <w:highlight w:val="none"/>
        </w:rPr>
        <w:t>深化渔业</w:t>
      </w:r>
      <w:r>
        <w:rPr>
          <w:rFonts w:hint="eastAsia" w:eastAsia="仿宋"/>
          <w:b/>
          <w:bCs/>
          <w:color w:val="auto"/>
          <w:sz w:val="32"/>
          <w:szCs w:val="32"/>
          <w:highlight w:val="none"/>
          <w:lang w:eastAsia="zh-CN"/>
        </w:rPr>
        <w:t>、畜牧</w:t>
      </w:r>
      <w:r>
        <w:rPr>
          <w:rFonts w:eastAsia="仿宋"/>
          <w:b/>
          <w:bCs/>
          <w:color w:val="auto"/>
          <w:sz w:val="32"/>
          <w:szCs w:val="32"/>
          <w:highlight w:val="none"/>
        </w:rPr>
        <w:t>领域安全整治。</w:t>
      </w:r>
      <w:r>
        <w:rPr>
          <w:rFonts w:hint="eastAsia" w:eastAsia="方正仿宋简体"/>
          <w:strike w:val="0"/>
          <w:dstrike w:val="0"/>
          <w:color w:val="auto"/>
          <w:sz w:val="32"/>
          <w:szCs w:val="32"/>
          <w:highlight w:val="none"/>
        </w:rPr>
        <w:t>强化</w:t>
      </w:r>
      <w:r>
        <w:rPr>
          <w:rFonts w:hint="eastAsia" w:eastAsia="方正仿宋简体"/>
          <w:strike w:val="0"/>
          <w:dstrike w:val="0"/>
          <w:color w:val="auto"/>
          <w:sz w:val="32"/>
          <w:szCs w:val="32"/>
          <w:highlight w:val="none"/>
          <w:lang w:eastAsia="zh-CN"/>
        </w:rPr>
        <w:t>各级</w:t>
      </w:r>
      <w:r>
        <w:rPr>
          <w:rFonts w:hint="eastAsia" w:eastAsia="方正仿宋简体"/>
          <w:color w:val="auto"/>
          <w:sz w:val="32"/>
          <w:szCs w:val="32"/>
          <w:highlight w:val="none"/>
        </w:rPr>
        <w:t>渔业</w:t>
      </w:r>
      <w:r>
        <w:rPr>
          <w:rFonts w:hint="eastAsia" w:eastAsia="方正仿宋简体"/>
          <w:color w:val="auto"/>
          <w:sz w:val="32"/>
          <w:szCs w:val="32"/>
          <w:highlight w:val="none"/>
          <w:lang w:eastAsia="zh-CN"/>
        </w:rPr>
        <w:t>、畜牧</w:t>
      </w:r>
      <w:r>
        <w:rPr>
          <w:rFonts w:hint="eastAsia" w:eastAsia="方正仿宋简体"/>
          <w:strike w:val="0"/>
          <w:dstrike w:val="0"/>
          <w:color w:val="auto"/>
          <w:sz w:val="32"/>
          <w:szCs w:val="32"/>
          <w:highlight w:val="none"/>
        </w:rPr>
        <w:t>安全生产意识，压紧压实安全生产各环节责任。</w:t>
      </w:r>
      <w:r>
        <w:rPr>
          <w:rFonts w:hint="eastAsia" w:eastAsia="方正仿宋简体"/>
          <w:color w:val="auto"/>
          <w:sz w:val="32"/>
          <w:szCs w:val="32"/>
          <w:highlight w:val="none"/>
        </w:rPr>
        <w:t>建立健全渔业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安全监管体系，重点督导渔业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生产经营主体落实安全生产主体责任，</w:t>
      </w:r>
      <w:r>
        <w:rPr>
          <w:rFonts w:hint="eastAsia" w:eastAsia="方正仿宋简体"/>
          <w:color w:val="auto"/>
          <w:sz w:val="32"/>
          <w:szCs w:val="32"/>
          <w:highlight w:val="none"/>
          <w:lang w:eastAsia="zh-CN"/>
        </w:rPr>
        <w:t>深入开展渔业、畜牧安全生产隐患排查整治，</w:t>
      </w:r>
      <w:r>
        <w:rPr>
          <w:rFonts w:hint="eastAsia" w:eastAsia="方正仿宋简体"/>
          <w:color w:val="auto"/>
          <w:sz w:val="32"/>
          <w:szCs w:val="32"/>
          <w:highlight w:val="none"/>
        </w:rPr>
        <w:t>开展渔业安全执法检查行动、违规渔具渔法清理整治专项执法行动。强化安全应急管理，进一步细化渔业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安全突发事件应急处置程序，组织开展多种形式的应急演练，提高渔业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安全事故应急救援能力。强化宣传教育培训工作</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加大渔业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安全生产知识、法律法规宣传力度，加强渔业</w:t>
      </w:r>
      <w:r>
        <w:rPr>
          <w:rFonts w:hint="eastAsia" w:eastAsia="方正仿宋简体"/>
          <w:color w:val="auto"/>
          <w:sz w:val="32"/>
          <w:szCs w:val="32"/>
          <w:highlight w:val="none"/>
          <w:lang w:eastAsia="zh-CN"/>
        </w:rPr>
        <w:t>、畜牧</w:t>
      </w:r>
      <w:r>
        <w:rPr>
          <w:rFonts w:hint="eastAsia" w:eastAsia="方正仿宋简体"/>
          <w:color w:val="auto"/>
          <w:sz w:val="32"/>
          <w:szCs w:val="32"/>
          <w:highlight w:val="none"/>
        </w:rPr>
        <w:t>从业人员安全技能知识培训，提升从业人员自救互救能力。</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11.</w:t>
      </w:r>
      <w:r>
        <w:rPr>
          <w:rFonts w:eastAsia="仿宋"/>
          <w:b/>
          <w:bCs/>
          <w:color w:val="auto"/>
          <w:sz w:val="32"/>
          <w:szCs w:val="32"/>
          <w:highlight w:val="none"/>
        </w:rPr>
        <w:t>深化特种设备领域安全整治。</w:t>
      </w:r>
      <w:r>
        <w:rPr>
          <w:rFonts w:hint="eastAsia" w:eastAsia="方正仿宋简体"/>
          <w:color w:val="auto"/>
          <w:sz w:val="32"/>
          <w:szCs w:val="32"/>
          <w:highlight w:val="none"/>
        </w:rPr>
        <w:t>落实特种设备安全“一件事、全链条”监管机制，推动企业落实安全主体责任，提升特种设备本质安全水平，常态化做好特种设备“应登尽登”“应检尽检”。优化提升“7812345”电梯安全监控服务平台，持续推进电梯无纸化智慧维保和维保质量信用分级分类监管新模式。聚焦城镇燃气、危化品、文旅、电力能源等重点行业领域特种设备，开展针对性隐患排查专项治理，深化线上监管与线下监管相结合模式，提升监管效能，消除一批特种设备重大事故隐患。加强对特种设备检验检测机构的监管力度，严厉查处出具虚假报告、不严格按照安全技术规范检验检测等违法行为，确保为特种设备本质安全提供可信、可靠的技术支撑。深入普及特种设备安全知识，提升全民特种设备安全意识，加强部门协同配合，建立健全信息共享和联合执法工作机制，形成齐抓共管监管合力，共同推动特种设备行业安全健康发展。</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12.</w:t>
      </w:r>
      <w:r>
        <w:rPr>
          <w:rFonts w:eastAsia="仿宋"/>
          <w:b/>
          <w:bCs/>
          <w:color w:val="auto"/>
          <w:sz w:val="32"/>
          <w:szCs w:val="32"/>
          <w:highlight w:val="none"/>
        </w:rPr>
        <w:t>深化电力领域安全整治。</w:t>
      </w:r>
      <w:r>
        <w:rPr>
          <w:rFonts w:hint="eastAsia" w:eastAsia="方正仿宋简体"/>
          <w:color w:val="auto"/>
          <w:sz w:val="32"/>
          <w:szCs w:val="32"/>
          <w:highlight w:val="none"/>
        </w:rPr>
        <w:t>坚持标本兼治、重在治本，将防范遏制生产安全事故的关口前移到管控风险、整治隐患上来，进一步夯实我市电力行业安全生产基础，坚决防范遏制重特大生产安全事故。健全完善电力安全监督管理体系，推进双重预防机制和安全生产标准化一体建设，推动安全生产包保落实，加强电力安全生产标准宣贯和落地实施，提升从业人员安全素质能力，加强电力企业安全教育培训和重点岗位人员考核管理，提升电力应急处置和监管人员专业能力，发挥安全科技支撑作用，巩固提升大电网安全防御体系，做好关键环节安全风险管控，推动重大电力安全隐患动态清零，加强电力建设施工重点领域、重点部位安全监管，持续深化“四项整治”，进一步夯实电力安全生产主体责任、属地监管责任，实现电力本质安全生产水平大幅提升。</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13.</w:t>
      </w:r>
      <w:r>
        <w:rPr>
          <w:rFonts w:eastAsia="仿宋"/>
          <w:b/>
          <w:bCs/>
          <w:color w:val="auto"/>
          <w:sz w:val="32"/>
          <w:szCs w:val="32"/>
          <w:highlight w:val="none"/>
        </w:rPr>
        <w:t>深化油气管道领域整治。</w:t>
      </w:r>
      <w:r>
        <w:rPr>
          <w:rFonts w:hint="eastAsia" w:eastAsia="方正仿宋简体"/>
          <w:color w:val="auto"/>
          <w:sz w:val="32"/>
          <w:szCs w:val="32"/>
          <w:highlight w:val="none"/>
        </w:rPr>
        <w:t>进一步完善油气管道安全监管和保护工作机制，强化属地管理和行业监管责任落实，加强油气管道企业安全生产主体责任落实，突出管道外部保护，强化油气管道治安防范，狠抓管道周边第三方施工管控，持续推进油气管道法定检验，每年组织开展一次全市油气管道法定检验情况监督抽查。持续推动油气管道智能化建设，2026年底，高后果区智能化视频监控安装和应用做到全覆盖。强化管道保护宣传，加大油气管道保护知识、法律法规宣传力度，进一步提高管道沿线群众的管道保护和安全守法意识；加强油气管道保护从业人员管道保护知识培训，提升从业人员管道保护能力。持续推进油气管道保护治本攻坚行动和隐患排查整治，坚决遏制重特大事故，有效减少较大和一般事故，全市油气管道安全水平明显提升，油气管道安全形势持续稳定。</w:t>
      </w:r>
    </w:p>
    <w:p>
      <w:pPr>
        <w:pStyle w:val="13"/>
        <w:keepNext w:val="0"/>
        <w:keepLines w:val="0"/>
        <w:pageBreakBefore w:val="0"/>
        <w:widowControl w:val="0"/>
        <w:kinsoku/>
        <w:wordWrap/>
        <w:overflowPunct/>
        <w:topLinePunct w:val="0"/>
        <w:autoSpaceDE/>
        <w:autoSpaceDN/>
        <w:bidi w:val="0"/>
        <w:snapToGrid/>
        <w:spacing w:before="0" w:after="0" w:line="578" w:lineRule="exact"/>
        <w:ind w:firstLine="643"/>
        <w:textAlignment w:val="auto"/>
        <w:rPr>
          <w:rFonts w:eastAsia="方正仿宋简体"/>
          <w:color w:val="auto"/>
          <w:sz w:val="32"/>
          <w:szCs w:val="32"/>
          <w:highlight w:val="none"/>
        </w:rPr>
      </w:pPr>
      <w:r>
        <w:rPr>
          <w:rFonts w:hint="eastAsia" w:eastAsia="仿宋"/>
          <w:b/>
          <w:bCs/>
          <w:color w:val="auto"/>
          <w:sz w:val="32"/>
          <w:szCs w:val="32"/>
          <w:highlight w:val="none"/>
        </w:rPr>
        <w:t>14.</w:t>
      </w:r>
      <w:r>
        <w:rPr>
          <w:rFonts w:eastAsia="仿宋"/>
          <w:b/>
          <w:bCs/>
          <w:color w:val="auto"/>
          <w:sz w:val="32"/>
          <w:szCs w:val="32"/>
          <w:highlight w:val="none"/>
        </w:rPr>
        <w:t>深化文化和旅游领域安全整治。</w:t>
      </w:r>
      <w:r>
        <w:rPr>
          <w:rFonts w:hint="eastAsia" w:eastAsia="方正仿宋简体"/>
          <w:color w:val="auto"/>
          <w:sz w:val="32"/>
          <w:szCs w:val="32"/>
          <w:highlight w:val="none"/>
        </w:rPr>
        <w:t>强化文旅领域消防安全整治工作，督促各类文化娱乐、文艺演出、文博场馆、A级景区、星级酒店等场所严格落实消防安全主体责任，完善火灾风险自查自改机制，建立隐患台账清单并限期整改闭环。明确消防安全责任到人，加强日常巡查，确保消防设施设备完好有效。推动加强大型文旅活动，特别是大型营业性演出、群众性文化活动等的安全管理，严格审批，完善突发事件应急联动处置机制。严格要求旅行社遵守相关法律法规，选择符合资质的供应商、合作商，不得将未开放区域作为旅游产品进行销售并提供服务。指导旅行社选用合规旅游包车，坚决做到“五不租”。联合有关部门严查文旅场所食品安全隐患，落实食材溯源、餐具消毒制度，防范群体性食源性疾病事件。严格执行A级景区“预约、错峰、限流”要求，健全客流实时监测与超载预警机制。加强场所内设施设备的安全管理，配合有关部门对大型游乐设施、客运索道、电梯、非公路用旅游观光车辆等特种设备开展安全治理，督促使用单位按时检验，开展经常性维护和自检。完善游乐设施、临水、临崖等危险区域的警示标识。推动文物保护单位安防、消防、防雷设施提升，优化设备选型与管线敷设工艺，减少对文物本体的干扰。定期组织消防、防汛、防踩踏等实战演练，提升全员自救互救与协同响应能力。通过安全标语、游客提示等渠道加强公众安全教育，营造“人人讲安全”的氛围。</w:t>
      </w:r>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48" w:name="_Toc18944"/>
      <w:r>
        <w:rPr>
          <w:rFonts w:hint="eastAsia" w:ascii="方正黑体简体" w:hAnsi="方正黑体简体" w:eastAsia="方正黑体简体" w:cs="方正黑体简体"/>
          <w:b/>
          <w:bCs/>
          <w:color w:val="auto"/>
          <w:szCs w:val="32"/>
          <w:highlight w:val="none"/>
        </w:rPr>
        <w:t>第七章  夯实安全生产主体责任</w:t>
      </w:r>
      <w:bookmarkEnd w:id="39"/>
      <w:bookmarkEnd w:id="4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围绕安全治理现代化要求，以压实</w:t>
      </w:r>
      <w:r>
        <w:rPr>
          <w:rFonts w:hint="eastAsia" w:eastAsia="方正仿宋简体" w:cs="Times New Roman"/>
          <w:color w:val="auto"/>
          <w:sz w:val="32"/>
          <w:szCs w:val="32"/>
          <w:highlight w:val="none"/>
        </w:rPr>
        <w:t>党政领导责任、部门监管责任、企业主体责任</w:t>
      </w:r>
      <w:r>
        <w:rPr>
          <w:rFonts w:eastAsia="方正仿宋简体" w:cs="Times New Roman"/>
          <w:color w:val="auto"/>
          <w:sz w:val="32"/>
          <w:szCs w:val="32"/>
          <w:highlight w:val="none"/>
        </w:rPr>
        <w:t>为核心，健全责任链条，明晰权责边界，强化履职监督，着力构建全域覆盖、闭环管理的安全生产责任体系。</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49" w:name="_Toc212236732"/>
      <w:bookmarkStart w:id="50" w:name="_Toc5082"/>
      <w:r>
        <w:rPr>
          <w:rFonts w:hint="eastAsia" w:ascii="方正楷体简体" w:hAnsi="方正楷体简体" w:eastAsia="方正楷体简体" w:cs="方正楷体简体"/>
          <w:color w:val="auto"/>
          <w:sz w:val="32"/>
          <w:highlight w:val="none"/>
        </w:rPr>
        <w:t>（一）强化属地管理责任</w:t>
      </w:r>
      <w:bookmarkEnd w:id="49"/>
      <w:bookmarkEnd w:id="5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明确各级党委和政府领导干部安全生产具体职责。完善安全生产履职述职与绩效评估机制，</w:t>
      </w:r>
      <w:r>
        <w:rPr>
          <w:rFonts w:hint="eastAsia" w:eastAsia="方正仿宋简体" w:cs="Times New Roman"/>
          <w:color w:val="auto"/>
          <w:sz w:val="32"/>
          <w:szCs w:val="32"/>
          <w:highlight w:val="none"/>
        </w:rPr>
        <w:t>全面落实安全生产“考述问”机制，每年组织县（市、区）、乡镇（街道）党政相关负责人向同级安委会述职，推动履职情况公开化，</w:t>
      </w:r>
      <w:r>
        <w:rPr>
          <w:rFonts w:eastAsia="方正仿宋简体" w:cs="Times New Roman"/>
          <w:color w:val="auto"/>
          <w:sz w:val="32"/>
          <w:szCs w:val="32"/>
          <w:highlight w:val="none"/>
        </w:rPr>
        <w:t>并将履职结果作为干部考核评价的重要依据。</w:t>
      </w:r>
      <w:r>
        <w:rPr>
          <w:rFonts w:hint="eastAsia" w:eastAsia="方正仿宋简体" w:cs="Times New Roman"/>
          <w:color w:val="auto"/>
          <w:sz w:val="32"/>
          <w:szCs w:val="32"/>
          <w:highlight w:val="none"/>
        </w:rPr>
        <w:t>健全安全生产督查制度，对履职不到位、隐患整改不力的及时约谈通报，</w:t>
      </w:r>
      <w:r>
        <w:rPr>
          <w:rFonts w:eastAsia="方正仿宋简体" w:cs="Times New Roman"/>
          <w:color w:val="auto"/>
          <w:sz w:val="32"/>
          <w:szCs w:val="32"/>
          <w:highlight w:val="none"/>
        </w:rPr>
        <w:t>压实地方党委政府属地管理责任，</w:t>
      </w:r>
      <w:r>
        <w:rPr>
          <w:rFonts w:hint="eastAsia" w:eastAsia="方正仿宋简体" w:cs="Times New Roman"/>
          <w:color w:val="auto"/>
          <w:sz w:val="32"/>
          <w:szCs w:val="32"/>
          <w:highlight w:val="none"/>
        </w:rPr>
        <w:t>确保安全生产各项决策部署落地见效</w:t>
      </w:r>
      <w:r>
        <w:rPr>
          <w:rFonts w:eastAsia="方正仿宋简体"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51" w:name="_Toc22059"/>
      <w:bookmarkStart w:id="52" w:name="_Toc212236733"/>
      <w:r>
        <w:rPr>
          <w:rFonts w:hint="eastAsia" w:ascii="方正楷体简体" w:hAnsi="方正楷体简体" w:eastAsia="方正楷体简体" w:cs="方正楷体简体"/>
          <w:color w:val="auto"/>
          <w:sz w:val="32"/>
          <w:highlight w:val="none"/>
        </w:rPr>
        <w:t>（二）明确部门监管职责</w:t>
      </w:r>
      <w:bookmarkEnd w:id="51"/>
      <w:bookmarkEnd w:id="52"/>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严格落实“三管三必须”要求，</w:t>
      </w:r>
      <w:r>
        <w:rPr>
          <w:rFonts w:eastAsia="方正仿宋简体" w:cs="Times New Roman"/>
          <w:color w:val="auto"/>
          <w:sz w:val="32"/>
          <w:szCs w:val="32"/>
          <w:highlight w:val="none"/>
        </w:rPr>
        <w:t>动态完善负有安全生产监督管理职责部门的权力与责任清单，厘清</w:t>
      </w:r>
      <w:r>
        <w:rPr>
          <w:rFonts w:hint="eastAsia" w:eastAsia="方正仿宋简体" w:cs="Times New Roman"/>
          <w:color w:val="auto"/>
          <w:sz w:val="32"/>
          <w:szCs w:val="32"/>
          <w:highlight w:val="none"/>
        </w:rPr>
        <w:t>安全</w:t>
      </w:r>
      <w:r>
        <w:rPr>
          <w:rFonts w:eastAsia="方正仿宋简体" w:cs="Times New Roman"/>
          <w:color w:val="auto"/>
          <w:sz w:val="32"/>
          <w:szCs w:val="32"/>
          <w:highlight w:val="none"/>
        </w:rPr>
        <w:t>监管与行业监管职责边界，确保权责对等。</w:t>
      </w:r>
      <w:r>
        <w:rPr>
          <w:rFonts w:hint="eastAsia" w:eastAsia="方正仿宋简体" w:cs="Times New Roman"/>
          <w:color w:val="auto"/>
          <w:sz w:val="32"/>
          <w:szCs w:val="32"/>
          <w:highlight w:val="none"/>
        </w:rPr>
        <w:t>在动态完善生产经营单位“一清二实”台账的基础上，压实行业主管部门和监管部门安全生产责任。</w:t>
      </w:r>
      <w:r>
        <w:rPr>
          <w:rFonts w:eastAsia="方正仿宋简体" w:cs="Times New Roman"/>
          <w:color w:val="auto"/>
          <w:sz w:val="32"/>
          <w:szCs w:val="32"/>
          <w:highlight w:val="none"/>
        </w:rPr>
        <w:t>健全部门间协同监管机制，建立联合执法机制，强化监管信息共享与问题协调，切实形成监管合力，实现安全生产监管无死角、全覆盖。</w:t>
      </w:r>
      <w:r>
        <w:rPr>
          <w:rFonts w:hint="eastAsia" w:eastAsia="方正仿宋简体" w:cs="Times New Roman"/>
          <w:color w:val="auto"/>
          <w:sz w:val="32"/>
          <w:szCs w:val="32"/>
          <w:highlight w:val="none"/>
        </w:rPr>
        <w:t>规范安委会、专业委员会运行，建立例会、专题会商制度，细化明确专业委员会工作职责，健全完善信息共享机制，压实监管责任。</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53" w:name="_Toc212236734"/>
      <w:bookmarkStart w:id="54" w:name="_Toc30919"/>
      <w:r>
        <w:rPr>
          <w:rFonts w:hint="eastAsia" w:ascii="方正楷体简体" w:hAnsi="方正楷体简体" w:eastAsia="方正楷体简体" w:cs="方正楷体简体"/>
          <w:color w:val="auto"/>
          <w:sz w:val="32"/>
          <w:highlight w:val="none"/>
        </w:rPr>
        <w:t>（三）压实企业主体责任</w:t>
      </w:r>
      <w:bookmarkEnd w:id="53"/>
      <w:bookmarkEnd w:id="54"/>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推进企业主体责任落实从“被动合规”向“主动管理”转型，健全覆盖企业主要负责人、安全管理人员、一线员工的全员责任体系。督促企业对照安全投入、安全培训、基础管理、应急救援“四到位”要求，足额提取使用安全生产费用，规范投保安全生产责任保险，健全“一人一档”全员教育培训档案，修订适用管用的应急预案并常态化开展“四不”应急演练。压紧压实法定代表人、实际控制人及其他主要负责人“第一责任人”责任，推行主要负责人年度述职、定期考试、带队检查等制度。落实安全总监制度，充分发挥安全总监作用。完善安全生产信用评价机制，将企业主体责任落实情况纳入信用记录，实施守信激励、失信惩戒，推动生产经营单位认识到位、履责到位。</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55" w:name="_Toc14521"/>
      <w:r>
        <w:rPr>
          <w:rFonts w:hint="eastAsia" w:ascii="方正楷体简体" w:hAnsi="方正楷体简体" w:eastAsia="方正楷体简体" w:cs="方正楷体简体"/>
          <w:color w:val="auto"/>
          <w:sz w:val="32"/>
          <w:highlight w:val="none"/>
        </w:rPr>
        <w:t>（四）严格责任追究与考核评价</w:t>
      </w:r>
      <w:bookmarkEnd w:id="5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健全安全生产责任追究机制，对隐患排查治理不力、风险管控措施落实不到位导致事故的，依法依规追究相关单位和人员责任。完善事故调查处置程序，建立重大事故隐患责任倒查制度，对发生生产安全事故的企业，及时组织开展调查，精准认定事故责任，落实停产整顿、“一案双罚”、行刑衔接、联合惩戒等措施。建立典型事故警示教育制度，深刻吸取事故教训，推动各级各部门履职尽责。组织县乡党委政府、行业部门、重点企业相关负责人进行现场考试、述职、提问，压紧压实安全生产责任，推动安全监管人员专业能力提升。</w:t>
      </w:r>
    </w:p>
    <w:bookmarkEnd w:id="30"/>
    <w:p>
      <w:pPr>
        <w:pStyle w:val="2"/>
        <w:keepNext w:val="0"/>
        <w:keepLines w:val="0"/>
        <w:pageBreakBefore w:val="0"/>
        <w:widowControl w:val="0"/>
        <w:kinsoku/>
        <w:wordWrap/>
        <w:overflowPunct/>
        <w:topLinePunct w:val="0"/>
        <w:autoSpaceDE/>
        <w:autoSpaceDN/>
        <w:bidi w:val="0"/>
        <w:snapToGrid/>
        <w:spacing w:before="0" w:after="0" w:line="578" w:lineRule="exact"/>
        <w:ind w:firstLine="1606" w:firstLineChars="500"/>
        <w:textAlignment w:val="auto"/>
        <w:rPr>
          <w:rFonts w:hint="eastAsia" w:ascii="黑体" w:hAnsi="黑体" w:cs="黑体"/>
          <w:b/>
          <w:bCs/>
          <w:color w:val="auto"/>
          <w:szCs w:val="32"/>
          <w:highlight w:val="none"/>
        </w:rPr>
      </w:pPr>
      <w:bookmarkStart w:id="56" w:name="_Toc5187"/>
      <w:bookmarkStart w:id="57" w:name="_Toc212236747"/>
      <w:bookmarkStart w:id="58" w:name="_Hlk209020253"/>
      <w:r>
        <w:rPr>
          <w:rFonts w:hint="eastAsia" w:ascii="方正黑体简体" w:hAnsi="方正黑体简体" w:eastAsia="方正黑体简体" w:cs="黑体"/>
          <w:b/>
          <w:bCs/>
          <w:color w:val="auto"/>
          <w:szCs w:val="32"/>
          <w:highlight w:val="none"/>
        </w:rPr>
        <w:t xml:space="preserve">第八章  </w:t>
      </w:r>
      <w:r>
        <w:rPr>
          <w:rFonts w:hint="eastAsia" w:ascii="方正黑体简体" w:hAnsi="方正黑体简体" w:eastAsia="方正黑体简体" w:cs="方正黑体简体"/>
          <w:b/>
          <w:bCs/>
          <w:color w:val="auto"/>
          <w:szCs w:val="32"/>
          <w:highlight w:val="none"/>
        </w:rPr>
        <w:t>提升安全生产社会共防共治能力</w:t>
      </w:r>
      <w:bookmarkEnd w:id="56"/>
      <w:bookmarkEnd w:id="57"/>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以健全社会共治机制为核心，畅通社会参与渠道，完善市场化风险分担机制，营造“人人讲安全、个个会应急”的社会氛围，构建政府主导、企业负责、社会协同、公众参与的安全生产治理新格局。</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59" w:name="OLE_LINK5"/>
      <w:bookmarkStart w:id="60" w:name="_Toc14194"/>
      <w:bookmarkStart w:id="61" w:name="_Toc212236748"/>
      <w:r>
        <w:rPr>
          <w:rFonts w:hint="eastAsia" w:ascii="方正楷体简体" w:hAnsi="方正楷体简体" w:eastAsia="方正楷体简体" w:cs="方正楷体简体"/>
          <w:color w:val="auto"/>
          <w:sz w:val="32"/>
          <w:highlight w:val="none"/>
        </w:rPr>
        <w:t>（一）健全举报奖励</w:t>
      </w:r>
      <w:bookmarkEnd w:id="59"/>
      <w:r>
        <w:rPr>
          <w:rFonts w:hint="eastAsia" w:ascii="方正楷体简体" w:hAnsi="方正楷体简体" w:eastAsia="方正楷体简体" w:cs="方正楷体简体"/>
          <w:color w:val="auto"/>
          <w:sz w:val="32"/>
          <w:highlight w:val="none"/>
        </w:rPr>
        <w:t>机制</w:t>
      </w:r>
      <w:bookmarkEnd w:id="60"/>
      <w:bookmarkEnd w:id="61"/>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严格落实安全生产举报奖励制度，及时通过“线上+线下”举报平台受理，严肃组织现场核查</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加强举报人信息保护，健全举报核查与反馈机制</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充分调动社会监督积极性，形成广泛参与的安全生产社会监督网络。持续推动企业事故隐患内部报告奖励机制，指导企业完善内部报告渠道，对及时发现并报告安全隐患的员工给予奖励。</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62" w:name="_Toc21679"/>
      <w:bookmarkStart w:id="63" w:name="_Toc212236749"/>
      <w:r>
        <w:rPr>
          <w:rFonts w:hint="eastAsia" w:ascii="方正楷体简体" w:hAnsi="方正楷体简体" w:eastAsia="方正楷体简体" w:cs="方正楷体简体"/>
          <w:color w:val="auto"/>
          <w:sz w:val="32"/>
          <w:highlight w:val="none"/>
        </w:rPr>
        <w:t>（二）构建群防群治格局</w:t>
      </w:r>
      <w:bookmarkEnd w:id="62"/>
      <w:bookmarkEnd w:id="6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构建“政府引领、群团协作、社会联动”的群防群治体系，将工会、共青团、妇联等群团组织纳入安全生产治理体系，明确其在宣传教育、隐患排查等方面的职责。发挥基层网格员在风险排查、信息报告中的作用，培育专业化安全生产志愿服务队伍。引导行业协会、商会等社会组织加强行业自律，制定实施安全生产自律公约和标准，构建涵盖社会多方力量、贯穿行业内部的立体化群防群治体系。</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64" w:name="_Toc212236750"/>
      <w:bookmarkStart w:id="65" w:name="_Toc12297"/>
      <w:r>
        <w:rPr>
          <w:rFonts w:hint="eastAsia" w:ascii="方正楷体简体" w:hAnsi="方正楷体简体" w:eastAsia="方正楷体简体" w:cs="方正楷体简体"/>
          <w:color w:val="auto"/>
          <w:sz w:val="32"/>
          <w:highlight w:val="none"/>
        </w:rPr>
        <w:t>（三）发挥安全生产责任保险事故预防功能</w:t>
      </w:r>
      <w:bookmarkEnd w:id="64"/>
      <w:bookmarkEnd w:id="65"/>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hint="eastAsia" w:ascii="方正楷体简体" w:hAnsi="方正楷体简体" w:eastAsia="方正楷体简体" w:cs="方正楷体简体"/>
          <w:color w:val="auto"/>
          <w:sz w:val="32"/>
          <w:highlight w:val="none"/>
        </w:rPr>
      </w:pPr>
      <w:r>
        <w:rPr>
          <w:rFonts w:hint="eastAsia" w:eastAsia="方正仿宋简体"/>
          <w:color w:val="auto"/>
          <w:sz w:val="32"/>
          <w:szCs w:val="32"/>
          <w:highlight w:val="none"/>
        </w:rPr>
        <w:t>建立完善政府部门、企业、保险机构、第三方技术服务机构多方协调机制，加强安全生产责任保险事故预防服务质效监督管理，推动保险机构为投保企业提供更加专业化的风险评估和隐患排查等安责险服务，切实提升服务效能，充分发挥保险机制在风险防控中的预防作用。</w:t>
      </w:r>
    </w:p>
    <w:p>
      <w:pPr>
        <w:pStyle w:val="2"/>
        <w:keepNext w:val="0"/>
        <w:keepLines w:val="0"/>
        <w:pageBreakBefore w:val="0"/>
        <w:widowControl w:val="0"/>
        <w:kinsoku/>
        <w:wordWrap/>
        <w:overflowPunct/>
        <w:topLinePunct w:val="0"/>
        <w:autoSpaceDE/>
        <w:autoSpaceDN/>
        <w:bidi w:val="0"/>
        <w:snapToGrid/>
        <w:spacing w:before="0" w:after="0" w:line="578" w:lineRule="exact"/>
        <w:ind w:firstLine="1606" w:firstLineChars="500"/>
        <w:textAlignment w:val="auto"/>
        <w:rPr>
          <w:rFonts w:hint="eastAsia" w:ascii="方正黑体简体" w:hAnsi="方正黑体简体" w:eastAsia="方正黑体简体" w:cs="方正黑体简体"/>
          <w:b/>
          <w:bCs/>
          <w:color w:val="auto"/>
          <w:szCs w:val="32"/>
          <w:highlight w:val="none"/>
        </w:rPr>
      </w:pPr>
      <w:bookmarkStart w:id="66" w:name="_Toc212236751"/>
      <w:bookmarkStart w:id="67" w:name="_Toc28287"/>
      <w:r>
        <w:rPr>
          <w:rFonts w:hint="eastAsia" w:ascii="方正黑体简体" w:hAnsi="方正黑体简体" w:eastAsia="方正黑体简体" w:cs="方正黑体简体"/>
          <w:b/>
          <w:bCs/>
          <w:color w:val="auto"/>
          <w:szCs w:val="32"/>
          <w:highlight w:val="none"/>
        </w:rPr>
        <w:t xml:space="preserve">第九章  </w:t>
      </w:r>
      <w:bookmarkEnd w:id="66"/>
      <w:r>
        <w:rPr>
          <w:rFonts w:ascii="方正黑体简体" w:hAnsi="方正黑体简体" w:eastAsia="方正黑体简体" w:cs="方正黑体简体"/>
          <w:b/>
          <w:bCs/>
          <w:color w:val="auto"/>
          <w:szCs w:val="32"/>
          <w:highlight w:val="none"/>
        </w:rPr>
        <w:t>夯实防灾减灾救灾</w:t>
      </w:r>
      <w:r>
        <w:rPr>
          <w:rFonts w:hint="eastAsia" w:ascii="方正黑体简体" w:hAnsi="方正黑体简体" w:eastAsia="方正黑体简体" w:cs="方正黑体简体"/>
          <w:b/>
          <w:bCs/>
          <w:color w:val="auto"/>
          <w:szCs w:val="32"/>
          <w:highlight w:val="none"/>
        </w:rPr>
        <w:t>体系</w:t>
      </w:r>
      <w:r>
        <w:rPr>
          <w:rFonts w:ascii="方正黑体简体" w:hAnsi="方正黑体简体" w:eastAsia="方正黑体简体" w:cs="方正黑体简体"/>
          <w:b/>
          <w:bCs/>
          <w:color w:val="auto"/>
          <w:szCs w:val="32"/>
          <w:highlight w:val="none"/>
        </w:rPr>
        <w:t>基础</w:t>
      </w:r>
      <w:bookmarkEnd w:id="6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围绕</w:t>
      </w:r>
      <w:r>
        <w:rPr>
          <w:rFonts w:hint="eastAsia" w:eastAsia="方正仿宋简体" w:cs="Times New Roman"/>
          <w:color w:val="auto"/>
          <w:sz w:val="32"/>
          <w:szCs w:val="32"/>
          <w:highlight w:val="none"/>
        </w:rPr>
        <w:t>建设“</w:t>
      </w:r>
      <w:r>
        <w:rPr>
          <w:rFonts w:eastAsia="方正仿宋简体" w:cs="Times New Roman"/>
          <w:color w:val="auto"/>
          <w:sz w:val="32"/>
          <w:szCs w:val="32"/>
          <w:highlight w:val="none"/>
        </w:rPr>
        <w:t>统一指挥、专常兼备、反应灵敏、上下联动、横向协同</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的防灾减灾救灾体系，坚持以防为主、防抗救相结合，聚焦体制机制完善、风险精准管控、监测预警覆盖、基层力量夯实和设施规范管理，全面筑牢防灾减灾救灾基础，提升全社会自然灾害抵御能力和综合救助水平。</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68" w:name="_Toc17537"/>
      <w:r>
        <w:rPr>
          <w:rFonts w:ascii="方正楷体简体" w:hAnsi="方正楷体简体" w:eastAsia="方正楷体简体" w:cs="方正楷体简体"/>
          <w:color w:val="auto"/>
          <w:sz w:val="32"/>
          <w:highlight w:val="none"/>
        </w:rPr>
        <w:t>（一）健全统筹协调与灾害应对机制</w:t>
      </w:r>
      <w:bookmarkEnd w:id="6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全面压实地方党委和人民政府在防灾减灾救灾工作中的主体责任。充分发挥各级防灾减灾救灾议事协调机构以及各类灾害专项指挥部、专项小组的统筹协调职能，强化相关行业部门在防汛抗旱、防震减灾、森林防灭火等重点领域的专业优势和“防”的主责意识。</w:t>
      </w:r>
      <w:r>
        <w:rPr>
          <w:rFonts w:eastAsia="方正仿宋简体" w:cs="Times New Roman"/>
          <w:color w:val="auto"/>
          <w:sz w:val="32"/>
          <w:szCs w:val="32"/>
          <w:highlight w:val="none"/>
        </w:rPr>
        <w:t>修订完善市、县两级总体应急预案和自然灾害类专项应急预案，强化预案之间的衔接配套与实战导向。建立健全灾害信息统一发布、应急响应联动触发等关键工作机制，确保灾害应对各环节衔接顺畅、高效有序。</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69" w:name="_Toc17791"/>
      <w:r>
        <w:rPr>
          <w:rFonts w:ascii="方正楷体简体" w:hAnsi="方正楷体简体" w:eastAsia="方正楷体简体" w:cs="方正楷体简体"/>
          <w:color w:val="auto"/>
          <w:sz w:val="32"/>
          <w:highlight w:val="none"/>
        </w:rPr>
        <w:t>（</w:t>
      </w:r>
      <w:r>
        <w:rPr>
          <w:rFonts w:hint="eastAsia" w:ascii="方正楷体简体" w:hAnsi="方正楷体简体" w:eastAsia="方正楷体简体" w:cs="方正楷体简体"/>
          <w:color w:val="auto"/>
          <w:sz w:val="32"/>
          <w:highlight w:val="none"/>
        </w:rPr>
        <w:t>二</w:t>
      </w:r>
      <w:r>
        <w:rPr>
          <w:rFonts w:ascii="方正楷体简体" w:hAnsi="方正楷体简体" w:eastAsia="方正楷体简体" w:cs="方正楷体简体"/>
          <w:color w:val="auto"/>
          <w:sz w:val="32"/>
          <w:highlight w:val="none"/>
        </w:rPr>
        <w:t>）深化灾害风险普查数据更新应用</w:t>
      </w:r>
      <w:bookmarkEnd w:id="69"/>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加强部门协同，畅通横向部门间数据交换共享通道，定期开展自然灾害综合风险普查数据更新，确保数据更新高效。强化数据的汇聚整合、挖掘分析和可视化应用，持续推动基础数据更新应用工作常态化、标准化开展。加强数据全生命周期安全管理，实行数据分类分级管理，强化数据流转环节的安全防护，确保数据安全可控。强化自然灾害风险普查成果分析应用，实现灾害风险的空间化识别与源头管控，为城乡韧性建设提供科学依据。</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0" w:name="_Toc21480"/>
      <w:r>
        <w:rPr>
          <w:rFonts w:ascii="方正楷体简体" w:hAnsi="方正楷体简体" w:eastAsia="方正楷体简体" w:cs="方正楷体简体"/>
          <w:color w:val="auto"/>
          <w:sz w:val="32"/>
          <w:highlight w:val="none"/>
        </w:rPr>
        <w:t>（</w:t>
      </w:r>
      <w:r>
        <w:rPr>
          <w:rFonts w:hint="eastAsia" w:ascii="方正楷体简体" w:hAnsi="方正楷体简体" w:eastAsia="方正楷体简体" w:cs="方正楷体简体"/>
          <w:color w:val="auto"/>
          <w:sz w:val="32"/>
          <w:highlight w:val="none"/>
        </w:rPr>
        <w:t>三</w:t>
      </w:r>
      <w:r>
        <w:rPr>
          <w:rFonts w:ascii="方正楷体简体" w:hAnsi="方正楷体简体" w:eastAsia="方正楷体简体" w:cs="方正楷体简体"/>
          <w:color w:val="auto"/>
          <w:sz w:val="32"/>
          <w:highlight w:val="none"/>
        </w:rPr>
        <w:t>）织密灾害监测预警网络</w:t>
      </w:r>
      <w:bookmarkEnd w:id="7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推动各行业部门</w:t>
      </w:r>
      <w:r>
        <w:rPr>
          <w:rFonts w:eastAsia="方正仿宋简体" w:cs="Times New Roman"/>
          <w:color w:val="auto"/>
          <w:sz w:val="32"/>
          <w:szCs w:val="32"/>
          <w:highlight w:val="none"/>
        </w:rPr>
        <w:t>优化自然灾害监测站网布局，</w:t>
      </w:r>
      <w:r>
        <w:rPr>
          <w:rFonts w:hint="eastAsia" w:eastAsia="方正仿宋简体" w:cs="Times New Roman"/>
          <w:color w:val="auto"/>
          <w:sz w:val="32"/>
          <w:szCs w:val="32"/>
          <w:highlight w:val="none"/>
        </w:rPr>
        <w:t>加强现有站网运行维护，重点在多灾易灾区域、人口密集区及重要基础设施周边等关键地段加密布设监测设施，补齐盲区，提升监测精准度和覆盖面。</w:t>
      </w:r>
      <w:r>
        <w:rPr>
          <w:rFonts w:eastAsia="方正仿宋简体" w:cs="Times New Roman"/>
          <w:color w:val="auto"/>
          <w:sz w:val="32"/>
          <w:szCs w:val="32"/>
          <w:highlight w:val="none"/>
        </w:rPr>
        <w:t>推动监测技术升级，</w:t>
      </w:r>
      <w:r>
        <w:rPr>
          <w:rFonts w:hint="eastAsia" w:eastAsia="方正仿宋简体" w:cs="Times New Roman"/>
          <w:color w:val="auto"/>
          <w:sz w:val="32"/>
          <w:szCs w:val="32"/>
          <w:highlight w:val="none"/>
        </w:rPr>
        <w:t>发展智能网格预报和中小尺度短临预报预警技术，提升预警提前量。畅通预警信息发布和传播渠道，明确各级责任主体的职责分工与响应处置流程，各专项指挥部和行业主管部门根据灾害特点科学合理确定预警阈值，健全完善本行业、本领域临灾“叫应”机制。强化预警传递和响应联动，形成“县-乡-村-户”直通的灾害预警信息传递渠道。对老幼病残孕等特殊人群和学校、养老服务机构、儿童福利机构、未成年人救助保护机构等特殊场所，农村偏远地区等警报盲区，夜间等特殊时段，采取鸣锣吹哨、敲门入户等针对性措施，确保预警信息精准通知到位。县级防汛抗旱、森林防灭火等专项指挥部明确响应启动后的各乡镇（街道）、部门（单位）具体行动，细化会商研判、指挥调度、救援救灾、人员转移措施。乡镇（街道）接收预警信息后，及时组织做好预警传递、巡查盯守、人员转移准备等工作。</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1" w:name="_Toc25903"/>
      <w:r>
        <w:rPr>
          <w:rFonts w:hint="eastAsia" w:ascii="方正楷体简体" w:hAnsi="方正楷体简体" w:eastAsia="方正楷体简体" w:cs="方正楷体简体"/>
          <w:color w:val="auto"/>
          <w:sz w:val="32"/>
          <w:highlight w:val="none"/>
        </w:rPr>
        <w:t>（四）提高灾害救助水平</w:t>
      </w:r>
      <w:bookmarkEnd w:id="7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加强灾情管理，强化灾害信息员队伍建设，宣扬培树灾情管理单位和灾害信息员先进典型。持续推进全市救灾物资政府实物储备、商业储备、产能储备，市县两级政府分别储备能够保障4-6万、0.5-0.7万紧急集中转移安置人口的物资；健全完善调拨机制，强化物资调拨、储备、运输等部门协同；探索建立基层救灾物资保障队伍，保障基层救灾物资有序合规发放。完善自然灾害救助体系，利用灾害民生综合保险等商业保险，兜牢民生底线。</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2" w:name="_Toc27075"/>
      <w:r>
        <w:rPr>
          <w:rFonts w:ascii="方正楷体简体" w:hAnsi="方正楷体简体" w:eastAsia="方正楷体简体" w:cs="方正楷体简体"/>
          <w:color w:val="auto"/>
          <w:sz w:val="32"/>
          <w:highlight w:val="none"/>
        </w:rPr>
        <w:t>（</w:t>
      </w:r>
      <w:r>
        <w:rPr>
          <w:rFonts w:hint="eastAsia" w:ascii="方正楷体简体" w:hAnsi="方正楷体简体" w:eastAsia="方正楷体简体" w:cs="方正楷体简体"/>
          <w:color w:val="auto"/>
          <w:sz w:val="32"/>
          <w:highlight w:val="none"/>
        </w:rPr>
        <w:t>五</w:t>
      </w:r>
      <w:r>
        <w:rPr>
          <w:rFonts w:ascii="方正楷体简体" w:hAnsi="方正楷体简体" w:eastAsia="方正楷体简体" w:cs="方正楷体简体"/>
          <w:color w:val="auto"/>
          <w:sz w:val="32"/>
          <w:highlight w:val="none"/>
        </w:rPr>
        <w:t>）推进应急避难场所规范化管理</w:t>
      </w:r>
      <w:bookmarkEnd w:id="72"/>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eastAsia="方正仿宋简体" w:cs="Times New Roman"/>
          <w:color w:val="auto"/>
          <w:sz w:val="32"/>
          <w:szCs w:val="32"/>
          <w:highlight w:val="none"/>
        </w:rPr>
        <w:t>编制应急避难场所规划，优化场所空间布局，统筹利用各类应急避难资源，指导协调相关单位做好应急避难场所建设工作，加强室内型、综合性和乡村应急避难场所建设，完善应急避难场所服务功能，推进城镇地区应急避难场所功能提升和公共设施平急改造，科学合理确定应急避难场所，确保应急避难场所能够快速启用、安全运行、有效保障。</w:t>
      </w:r>
      <w:bookmarkStart w:id="73" w:name="_Toc212236756"/>
    </w:p>
    <w:p>
      <w:pPr>
        <w:pStyle w:val="2"/>
        <w:keepNext w:val="0"/>
        <w:keepLines w:val="0"/>
        <w:pageBreakBefore w:val="0"/>
        <w:widowControl w:val="0"/>
        <w:kinsoku/>
        <w:wordWrap/>
        <w:overflowPunct/>
        <w:topLinePunct w:val="0"/>
        <w:autoSpaceDE/>
        <w:autoSpaceDN/>
        <w:bidi w:val="0"/>
        <w:snapToGrid/>
        <w:spacing w:before="0" w:after="0" w:line="578" w:lineRule="exact"/>
        <w:ind w:firstLine="1606" w:firstLineChars="500"/>
        <w:textAlignment w:val="auto"/>
        <w:rPr>
          <w:rFonts w:hint="eastAsia" w:ascii="方正黑体简体" w:hAnsi="方正黑体简体" w:eastAsia="方正黑体简体" w:cs="方正黑体简体"/>
          <w:b/>
          <w:bCs/>
          <w:color w:val="auto"/>
          <w:szCs w:val="32"/>
          <w:highlight w:val="none"/>
        </w:rPr>
      </w:pPr>
      <w:bookmarkStart w:id="74" w:name="_Toc10495"/>
      <w:r>
        <w:rPr>
          <w:rFonts w:hint="eastAsia" w:ascii="方正黑体简体" w:hAnsi="方正黑体简体" w:eastAsia="方正黑体简体" w:cs="方正黑体简体"/>
          <w:b/>
          <w:bCs/>
          <w:color w:val="auto"/>
          <w:szCs w:val="32"/>
          <w:highlight w:val="none"/>
        </w:rPr>
        <w:t xml:space="preserve">第十章  </w:t>
      </w:r>
      <w:bookmarkEnd w:id="73"/>
      <w:r>
        <w:rPr>
          <w:rFonts w:hint="eastAsia" w:ascii="方正黑体简体" w:hAnsi="方正黑体简体" w:eastAsia="方正黑体简体" w:cs="方正黑体简体"/>
          <w:b/>
          <w:bCs/>
          <w:color w:val="auto"/>
          <w:szCs w:val="32"/>
          <w:highlight w:val="none"/>
        </w:rPr>
        <w:t>提升重点自然灾害精准防治能力</w:t>
      </w:r>
      <w:bookmarkEnd w:id="74"/>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以自然灾害风险普查成果转化应用为基础，持续加强灾害风险精准识别与高效应对能力建设，强化基层队伍建设，筑牢防灾减灾救灾的安全防线。</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5" w:name="_Toc25042"/>
      <w:bookmarkStart w:id="76" w:name="_Toc212236758"/>
      <w:r>
        <w:rPr>
          <w:rFonts w:hint="eastAsia" w:ascii="方正楷体简体" w:hAnsi="方正楷体简体" w:eastAsia="方正楷体简体" w:cs="方正楷体简体"/>
          <w:color w:val="auto"/>
          <w:sz w:val="32"/>
          <w:highlight w:val="none"/>
        </w:rPr>
        <w:t>（一）筑牢水旱灾害安全防线</w:t>
      </w:r>
      <w:bookmarkEnd w:id="75"/>
    </w:p>
    <w:p>
      <w:pPr>
        <w:keepNext w:val="0"/>
        <w:keepLines w:val="0"/>
        <w:pageBreakBefore w:val="0"/>
        <w:widowControl w:val="0"/>
        <w:kinsoku/>
        <w:wordWrap/>
        <w:overflowPunct/>
        <w:topLinePunct w:val="0"/>
        <w:autoSpaceDE/>
        <w:autoSpaceDN/>
        <w:bidi w:val="0"/>
        <w:adjustRightInd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建强防汛抗旱专业队伍，推动建立共训共练、跨区协作、联合救援工作机制。完善前线指挥部快速搭建与保障体系，提升应急响应后高效运转能力。根据汛情发展动态研判风险，精准前置救援力量和装备物资，推动抢险救援关口前移。健全防汛抗旱物资储备机制，完善实物储备、协议储备、社会化储备相结合的多元保障格局。聚焦“三断”极端情况，加快先进适用装备配备应用。持续推进基层防汛应急能力提升，分类指导东部山区、湖西易涝区、蓄滞洪区等重点区域能力建设，分级推进组织、业务、装备和自救互救能力提升。加强基层防汛抢险队伍建设，强化专业技能培训和实战演练，确保第一时间有效处置。</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7" w:name="_Toc31606"/>
      <w:r>
        <w:rPr>
          <w:rFonts w:hint="eastAsia" w:ascii="方正楷体简体" w:hAnsi="方正楷体简体" w:eastAsia="方正楷体简体" w:cs="方正楷体简体"/>
          <w:color w:val="auto"/>
          <w:sz w:val="32"/>
          <w:highlight w:val="none"/>
        </w:rPr>
        <w:t>（二）强化森林火灾防控屏障</w:t>
      </w:r>
      <w:bookmarkEnd w:id="7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完善森林草原防灭火救援体系，指导重点镇街依托当地企业或救援组织，建设专兼职应急救援队伍。推动科技手段在森林火灾防控中的应用，提升监测预警、火情勘察和救援指挥能力。加强森林防火物资储备管理，健全物资装备台账和维护保养制度。完善联防联控机制，推动重点林区信息共享、力量协同，提升区域协同作战能力。强化森林防火宣传教育，筑牢群防群治防线。</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8" w:name="_Toc11041"/>
      <w:r>
        <w:rPr>
          <w:rFonts w:hint="eastAsia" w:ascii="方正楷体简体" w:hAnsi="方正楷体简体" w:eastAsia="方正楷体简体" w:cs="方正楷体简体"/>
          <w:color w:val="auto"/>
          <w:sz w:val="32"/>
          <w:highlight w:val="none"/>
        </w:rPr>
        <w:t>（三）夯实地震灾害防御基础</w:t>
      </w:r>
      <w:bookmarkEnd w:id="7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强化抗震设防要求管理，落实全国第六代地震动参数区划图标准要求，依法强化对重大建设工程和可能发生严重次生灾害建设工程的地震安全性评价，加强一般建设工程抗震设防要求服务。提升地震安全韧性，鼓励建设单位积极应用减隔震等新技术，加强农村民居抗震设防技术指导。优化全市测震站网布局，加强震情跟踪分析研判，强化群测群防工作，提升地震监测预报预警能力。修订《济宁市地震应急预案》，优化地震应急指挥协调联动机制，开展地震应急演练，强化地震应急准备，提升应急处置能力。提升防震减灾公共服务能力，以矿山、化工园区和学校、医院等为重点，拓宽公共服务领域，推动地震安全文物保护试点建设，发挥防震减灾科普馆宣传阵地作用。</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79" w:name="_Toc2954"/>
      <w:r>
        <w:rPr>
          <w:rFonts w:hint="eastAsia" w:ascii="方正楷体简体" w:hAnsi="方正楷体简体" w:eastAsia="方正楷体简体" w:cs="方正楷体简体"/>
          <w:color w:val="auto"/>
          <w:sz w:val="32"/>
          <w:highlight w:val="none"/>
        </w:rPr>
        <w:t>（四）增强极端天气应对韧性</w:t>
      </w:r>
      <w:bookmarkEnd w:id="79"/>
    </w:p>
    <w:bookmarkEnd w:id="76"/>
    <w:p>
      <w:pPr>
        <w:keepNext w:val="0"/>
        <w:keepLines w:val="0"/>
        <w:pageBreakBefore w:val="0"/>
        <w:widowControl w:val="0"/>
        <w:kinsoku/>
        <w:wordWrap/>
        <w:overflowPunct/>
        <w:topLinePunct w:val="0"/>
        <w:autoSpaceDE/>
        <w:autoSpaceDN/>
        <w:bidi w:val="0"/>
        <w:adjustRightInd w:val="0"/>
        <w:snapToGrid/>
        <w:spacing w:after="0" w:line="578" w:lineRule="exact"/>
        <w:ind w:firstLine="640"/>
        <w:textAlignment w:val="auto"/>
        <w:rPr>
          <w:color w:val="auto"/>
          <w:sz w:val="32"/>
          <w:szCs w:val="32"/>
          <w:highlight w:val="none"/>
        </w:rPr>
      </w:pPr>
      <w:r>
        <w:rPr>
          <w:rFonts w:hint="eastAsia" w:eastAsia="方正仿宋简体" w:cs="Times New Roman"/>
          <w:color w:val="auto"/>
          <w:sz w:val="32"/>
          <w:szCs w:val="32"/>
          <w:highlight w:val="none"/>
        </w:rPr>
        <w:t>健全气象监测预警体系，优化监测站网布局，提升气象灾害监测覆盖率。推进气象科技能力建设，强化大数据、人工智能等新技术应用，提升预报准确率和短临预警能力。完善极端天气应急联动机制，健全气象、应急、水务等部门信息共享平台，实现实时数据互通。细化高级别预警“叫应”机制，确保预警信息精准直达责任人和受影响区域。强化基层预警响应能力，明确基层责任人行动职责，打通预警落地“最后一公里”。加强跨部门联合风险研判，提升气象预报向灾害风险预报转化能力。面向重点行业发布针对性风险提示，配合相关部门做好安全生产预警。广泛开展气象防灾减灾知识科普，提升全社会极端天气应对能力。</w:t>
      </w:r>
      <w:bookmarkStart w:id="80" w:name="_Toc212236760"/>
      <w:bookmarkStart w:id="81" w:name="OLE_LINK4"/>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82" w:name="_Toc11394"/>
      <w:r>
        <w:rPr>
          <w:rFonts w:hint="eastAsia" w:ascii="方正黑体简体" w:hAnsi="方正黑体简体" w:eastAsia="方正黑体简体" w:cs="方正黑体简体"/>
          <w:b/>
          <w:bCs/>
          <w:color w:val="auto"/>
          <w:szCs w:val="32"/>
          <w:highlight w:val="none"/>
        </w:rPr>
        <w:t xml:space="preserve">第十一章  </w:t>
      </w:r>
      <w:bookmarkEnd w:id="80"/>
      <w:r>
        <w:rPr>
          <w:rFonts w:hint="eastAsia" w:ascii="方正黑体简体" w:hAnsi="方正黑体简体" w:eastAsia="方正黑体简体" w:cs="方正黑体简体"/>
          <w:b/>
          <w:bCs/>
          <w:color w:val="auto"/>
          <w:szCs w:val="32"/>
          <w:highlight w:val="none"/>
        </w:rPr>
        <w:t>强化应急救援实战能力</w:t>
      </w:r>
      <w:bookmarkEnd w:id="82"/>
    </w:p>
    <w:bookmarkEnd w:id="81"/>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围绕实战化、专业化、智能化要求，以构建专常兼备、反应灵敏、联动高效的应急救援体系为核心，全面加强应急预案、队伍、物资、通信等要素建设，提升重特大突发事件应急处置效能。</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3" w:name="_Toc4526"/>
      <w:r>
        <w:rPr>
          <w:rFonts w:hint="eastAsia" w:ascii="方正楷体简体" w:hAnsi="方正楷体简体" w:eastAsia="方正楷体简体" w:cs="方正楷体简体"/>
          <w:color w:val="auto"/>
          <w:sz w:val="32"/>
          <w:highlight w:val="none"/>
        </w:rPr>
        <w:t>（一）强化应急预案与实战演练管理</w:t>
      </w:r>
      <w:bookmarkEnd w:id="8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健全应急预案体系，推动各级各类应急预案简明化、实战化、数字化，增强针对性和可操作性。建立预案动态修订机制，根据风险评估、应急资源和事故教训及时更新完善。加强应急预案衔接协调，确保上下贯通、左右衔接。创新演练模式，常态化开展“双盲”演练、桌面推演和实战拉动，重点强化极端复杂条件下应急响应演练。建立演练评估制度，强化结果运用，以演促改、以练备战，切实提升应急响应和协同作战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4" w:name="_Toc7646"/>
      <w:r>
        <w:rPr>
          <w:rFonts w:hint="eastAsia" w:ascii="方正楷体简体" w:hAnsi="方正楷体简体" w:eastAsia="方正楷体简体" w:cs="方正楷体简体"/>
          <w:color w:val="auto"/>
          <w:sz w:val="32"/>
          <w:highlight w:val="none"/>
        </w:rPr>
        <w:t>（二）建强综合性应急救援骨干队伍</w:t>
      </w:r>
      <w:bookmarkEnd w:id="84"/>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统筹规划全市应急救援力量布局，构建以专业救援队伍为主力、社会应急力量为辅助的应急救援力量体系。重点加强危化品、矿山、水上、航空等专业救援队伍建设，建强森林消防和抗洪抢险专业队伍。健全队伍管理、训练、考核和保障机制，推行标准化建设、实战化训练。强化军地联动、政企协同，建立联训联演、联勤联战机制。大力推进南四湖区域航空与水上救援基地建设，配备先进救援装备，开展激流救援、潜水救援等特种训练，提升复杂水文条件下救援能力。统筹规划航空救援基础设施，组建航空救援地面支援队伍和无人机侦测分队，完善空地一体化指挥调度机制。建设综合应急救援训练基地，开展多灾种叠加、次生衍生灾害等复杂场景专项训练，提升队伍综合处置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5" w:name="_Toc19045"/>
      <w:r>
        <w:rPr>
          <w:rFonts w:hint="eastAsia" w:ascii="方正楷体简体" w:hAnsi="方正楷体简体" w:eastAsia="方正楷体简体" w:cs="方正楷体简体"/>
          <w:color w:val="auto"/>
          <w:sz w:val="32"/>
          <w:highlight w:val="none"/>
        </w:rPr>
        <w:t>（三）健全应急物资保障体系</w:t>
      </w:r>
      <w:bookmarkEnd w:id="8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围绕制度建设、仓储优化、信息化赋能系统提升应急物资管理能力，构建高效规范、智能精准的应急物资保障体系。健全应急物资管理制度体系，全面规范应急物资采购、验收、调拨、使用、维保、资产管理等全流程环节，构建权责清晰、运行顺畅的全链条责任体系。优化市级应急物资储备仓库管理机制，按物资属性、保质期、使用频率实行分区分类精准存放，提升物资定位、调拨与应急响应效率。推进应急物资储备库标准化、智能化建设，依托物联网、大数据等技术实现物资入库、存储、轮换、出库全流程精准化管控，全面提升应急物资保障现代化水平。</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6" w:name="_Toc1278"/>
      <w:r>
        <w:rPr>
          <w:rFonts w:hint="eastAsia" w:ascii="方正楷体简体" w:hAnsi="方正楷体简体" w:eastAsia="方正楷体简体" w:cs="方正楷体简体"/>
          <w:color w:val="auto"/>
          <w:sz w:val="32"/>
          <w:highlight w:val="none"/>
        </w:rPr>
        <w:t>（四）提升应急指挥通信保障能力</w:t>
      </w:r>
      <w:bookmarkEnd w:id="86"/>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加强应急通信保障能力建设，持续推进通信装备升级更新，融入适配复杂环境的新技术新装备，构建更具韧性的通信装备支撑体系。尤其是东部山区及灾害易失联区域要实现窄带无线通信网络覆盖，具备卫星电话、北斗终端等保底通信手段，补齐“断电、断路、断网”极端条件下通信短板。组建专兼职应急指挥通信保障队伍，配备专用装备，逐步构建分级联动的队伍体系，确保在各类应急场景下均能实现高效、稳定、连续的通信保障。常态化开展实战化演练，模拟无公网、山区地形、恶劣天气等复杂场景，强化装备操作、信号保障、多装备协同应用能力，提升前线指挥和后勤保障水平。</w:t>
      </w:r>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87" w:name="_Toc212236766"/>
      <w:bookmarkStart w:id="88" w:name="_Toc14938"/>
      <w:r>
        <w:rPr>
          <w:rFonts w:hint="eastAsia" w:ascii="方正黑体简体" w:hAnsi="方正黑体简体" w:eastAsia="方正黑体简体" w:cs="方正黑体简体"/>
          <w:b/>
          <w:bCs/>
          <w:color w:val="auto"/>
          <w:szCs w:val="32"/>
          <w:highlight w:val="none"/>
        </w:rPr>
        <w:t xml:space="preserve">第十二章  </w:t>
      </w:r>
      <w:bookmarkEnd w:id="87"/>
      <w:r>
        <w:rPr>
          <w:rFonts w:hint="eastAsia" w:ascii="方正黑体简体" w:hAnsi="方正黑体简体" w:eastAsia="方正黑体简体" w:cs="方正黑体简体"/>
          <w:b/>
          <w:bCs/>
          <w:color w:val="auto"/>
          <w:szCs w:val="32"/>
          <w:highlight w:val="none"/>
        </w:rPr>
        <w:t>加强基层应急能力建设</w:t>
      </w:r>
      <w:bookmarkEnd w:id="88"/>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坚持重心下移、资源下沉，创新站点运行模式，规范预案体系建设，建强基层应急队伍，推动应急资源向基层倾斜，筑牢应急管理的前沿阵地。</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89" w:name="_Toc14783"/>
      <w:r>
        <w:rPr>
          <w:rFonts w:ascii="方正楷体简体" w:hAnsi="方正楷体简体" w:eastAsia="方正楷体简体" w:cs="方正楷体简体"/>
          <w:color w:val="auto"/>
          <w:sz w:val="32"/>
          <w:highlight w:val="none"/>
        </w:rPr>
        <w:t>（一）健全基层应急组织体系</w:t>
      </w:r>
      <w:bookmarkEnd w:id="89"/>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eastAsia="方正仿宋简体"/>
          <w:color w:val="auto"/>
          <w:sz w:val="32"/>
          <w:szCs w:val="32"/>
          <w:highlight w:val="none"/>
        </w:rPr>
        <w:t>完善乡镇（街道）应急管理组织机构，明确分管负责人，配备专职工作人员，推动应急管理机构实体化运行。健全村（社区）应急管理工作小组，由党组织书记任组长，明确具体责任人，将应急管理触角延伸至网格单元。建立基层党政领导干部应急管理责任清单，细化隐患排查、信息报送、先期处置等具体职责。探索</w:t>
      </w:r>
      <w:r>
        <w:rPr>
          <w:rFonts w:hint="eastAsia" w:eastAsia="方正仿宋简体"/>
          <w:color w:val="auto"/>
          <w:sz w:val="32"/>
          <w:szCs w:val="32"/>
          <w:highlight w:val="none"/>
        </w:rPr>
        <w:t>“</w:t>
      </w:r>
      <w:r>
        <w:rPr>
          <w:rFonts w:eastAsia="方正仿宋简体"/>
          <w:color w:val="auto"/>
          <w:sz w:val="32"/>
          <w:szCs w:val="32"/>
          <w:highlight w:val="none"/>
        </w:rPr>
        <w:t>应消</w:t>
      </w:r>
      <w:r>
        <w:rPr>
          <w:rFonts w:hint="eastAsia" w:eastAsia="方正仿宋简体"/>
          <w:color w:val="auto"/>
          <w:sz w:val="32"/>
          <w:szCs w:val="32"/>
          <w:highlight w:val="none"/>
        </w:rPr>
        <w:t>合一、队站</w:t>
      </w:r>
      <w:r>
        <w:rPr>
          <w:rFonts w:eastAsia="方正仿宋简体"/>
          <w:color w:val="auto"/>
          <w:sz w:val="32"/>
          <w:szCs w:val="32"/>
          <w:highlight w:val="none"/>
        </w:rPr>
        <w:t>一体</w:t>
      </w:r>
      <w:r>
        <w:rPr>
          <w:rFonts w:hint="eastAsia" w:eastAsia="方正仿宋简体"/>
          <w:color w:val="auto"/>
          <w:sz w:val="32"/>
          <w:szCs w:val="32"/>
          <w:highlight w:val="none"/>
        </w:rPr>
        <w:t>”</w:t>
      </w:r>
      <w:r>
        <w:rPr>
          <w:rFonts w:eastAsia="方正仿宋简体"/>
          <w:color w:val="auto"/>
          <w:sz w:val="32"/>
          <w:szCs w:val="32"/>
          <w:highlight w:val="none"/>
        </w:rPr>
        <w:t>运行模式，整合应急管理和消防工作力量，实现信息互通、力量统筹。完善</w:t>
      </w:r>
      <w:r>
        <w:rPr>
          <w:rFonts w:hint="eastAsia" w:eastAsia="方正仿宋简体"/>
          <w:color w:val="auto"/>
          <w:sz w:val="32"/>
          <w:szCs w:val="32"/>
          <w:highlight w:val="none"/>
        </w:rPr>
        <w:t>“</w:t>
      </w:r>
      <w:r>
        <w:rPr>
          <w:rFonts w:eastAsia="方正仿宋简体"/>
          <w:color w:val="auto"/>
          <w:sz w:val="32"/>
          <w:szCs w:val="32"/>
          <w:highlight w:val="none"/>
        </w:rPr>
        <w:t>平急转换</w:t>
      </w:r>
      <w:r>
        <w:rPr>
          <w:rFonts w:hint="eastAsia" w:eastAsia="方正仿宋简体"/>
          <w:color w:val="auto"/>
          <w:sz w:val="32"/>
          <w:szCs w:val="32"/>
          <w:highlight w:val="none"/>
        </w:rPr>
        <w:t>”</w:t>
      </w:r>
      <w:r>
        <w:rPr>
          <w:rFonts w:eastAsia="方正仿宋简体"/>
          <w:color w:val="auto"/>
          <w:sz w:val="32"/>
          <w:szCs w:val="32"/>
          <w:highlight w:val="none"/>
        </w:rPr>
        <w:t>机制，明确常态下风险排查、宣教培训和应急状态下信息报送、人员转移、先期处置的流程衔接。推动应急管理与基层党建、乡村振兴、社会治理等重点工作统筹部署，形成共建共治共享格局。</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0" w:name="_Toc12367"/>
      <w:r>
        <w:rPr>
          <w:rFonts w:ascii="方正楷体简体" w:hAnsi="方正楷体简体" w:eastAsia="方正楷体简体" w:cs="方正楷体简体"/>
          <w:color w:val="auto"/>
          <w:sz w:val="32"/>
          <w:highlight w:val="none"/>
        </w:rPr>
        <w:t>（二）提升基层风险防范能力</w:t>
      </w:r>
      <w:bookmarkEnd w:id="90"/>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eastAsia="方正仿宋简体"/>
          <w:color w:val="auto"/>
          <w:sz w:val="32"/>
          <w:szCs w:val="32"/>
          <w:highlight w:val="none"/>
        </w:rPr>
        <w:t>指导乡镇（街道）、村（社区）定期开展自然灾害和安全生产风险辨识，建立风险隐患</w:t>
      </w:r>
      <w:r>
        <w:rPr>
          <w:rFonts w:hint="eastAsia" w:eastAsia="方正仿宋简体"/>
          <w:color w:val="auto"/>
          <w:sz w:val="32"/>
          <w:szCs w:val="32"/>
          <w:highlight w:val="none"/>
        </w:rPr>
        <w:t>“</w:t>
      </w:r>
      <w:r>
        <w:rPr>
          <w:rFonts w:eastAsia="方正仿宋简体"/>
          <w:color w:val="auto"/>
          <w:sz w:val="32"/>
          <w:szCs w:val="32"/>
          <w:highlight w:val="none"/>
        </w:rPr>
        <w:t>一张图</w:t>
      </w:r>
      <w:r>
        <w:rPr>
          <w:rFonts w:hint="eastAsia" w:eastAsia="方正仿宋简体"/>
          <w:color w:val="auto"/>
          <w:sz w:val="32"/>
          <w:szCs w:val="32"/>
          <w:highlight w:val="none"/>
        </w:rPr>
        <w:t>”</w:t>
      </w:r>
      <w:r>
        <w:rPr>
          <w:rFonts w:eastAsia="方正仿宋简体"/>
          <w:color w:val="auto"/>
          <w:sz w:val="32"/>
          <w:szCs w:val="32"/>
          <w:highlight w:val="none"/>
        </w:rPr>
        <w:t>和动态更新台账，摸清老旧房屋、低洼易涝点、地质灾害隐患点等风险底数。健全基层隐患排查治理机制，推行</w:t>
      </w:r>
      <w:r>
        <w:rPr>
          <w:rFonts w:hint="eastAsia" w:eastAsia="方正仿宋简体"/>
          <w:color w:val="auto"/>
          <w:sz w:val="32"/>
          <w:szCs w:val="32"/>
          <w:highlight w:val="none"/>
        </w:rPr>
        <w:t>“</w:t>
      </w:r>
      <w:r>
        <w:rPr>
          <w:rFonts w:eastAsia="方正仿宋简体"/>
          <w:color w:val="auto"/>
          <w:sz w:val="32"/>
          <w:szCs w:val="32"/>
          <w:highlight w:val="none"/>
        </w:rPr>
        <w:t>网格化+风险排查</w:t>
      </w:r>
      <w:r>
        <w:rPr>
          <w:rFonts w:hint="eastAsia" w:eastAsia="方正仿宋简体"/>
          <w:color w:val="auto"/>
          <w:sz w:val="32"/>
          <w:szCs w:val="32"/>
          <w:highlight w:val="none"/>
        </w:rPr>
        <w:t>”</w:t>
      </w:r>
      <w:r>
        <w:rPr>
          <w:rFonts w:eastAsia="方正仿宋简体"/>
          <w:color w:val="auto"/>
          <w:sz w:val="32"/>
          <w:szCs w:val="32"/>
          <w:highlight w:val="none"/>
        </w:rPr>
        <w:t>模式，明确网格员隐患排查职责，落实隐患发现、上报、整改、销号闭环管理。广泛开展防灾减灾知识科普和警示教育，利用文化广场、村民讲堂、应急广播等阵地，提升公众风险防范意识和自救互救能力。</w:t>
      </w:r>
      <w:r>
        <w:rPr>
          <w:rFonts w:hint="eastAsia" w:eastAsia="方正仿宋简体"/>
          <w:color w:val="auto"/>
          <w:sz w:val="32"/>
          <w:szCs w:val="32"/>
          <w:highlight w:val="none"/>
        </w:rPr>
        <w:t>推动微山县综合防灾能力项目建设，组织有条件的县（市、区）争创全国综合减灾示范县，以点带面辐射带动全市县域全面提升基层防灾减灾救灾能力。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1" w:name="_Toc13523"/>
      <w:r>
        <w:rPr>
          <w:rFonts w:ascii="方正楷体简体" w:hAnsi="方正楷体简体" w:eastAsia="方正楷体简体" w:cs="方正楷体简体"/>
          <w:color w:val="auto"/>
          <w:sz w:val="32"/>
          <w:highlight w:val="none"/>
        </w:rPr>
        <w:t>（三）加强基层应急</w:t>
      </w:r>
      <w:r>
        <w:rPr>
          <w:rFonts w:hint="eastAsia" w:ascii="方正楷体简体" w:hAnsi="方正楷体简体" w:eastAsia="方正楷体简体" w:cs="方正楷体简体"/>
          <w:color w:val="auto"/>
          <w:sz w:val="32"/>
          <w:highlight w:val="none"/>
        </w:rPr>
        <w:t>处置</w:t>
      </w:r>
      <w:r>
        <w:rPr>
          <w:rFonts w:ascii="方正楷体简体" w:hAnsi="方正楷体简体" w:eastAsia="方正楷体简体" w:cs="方正楷体简体"/>
          <w:color w:val="auto"/>
          <w:sz w:val="32"/>
          <w:highlight w:val="none"/>
        </w:rPr>
        <w:t>力量</w:t>
      </w:r>
      <w:bookmarkEnd w:id="9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eastAsia="方正仿宋简体" w:cs="Times New Roman"/>
          <w:color w:val="auto"/>
          <w:sz w:val="32"/>
          <w:szCs w:val="32"/>
          <w:highlight w:val="none"/>
        </w:rPr>
        <w:t>统筹推进乡镇（街道）应急救援站建设，依托现有资源，采取自建、共建或依托重点企业等方式，实现重点乡镇和有条件的村（社区）应急救援站全覆盖，持续推进站点人员、装备和制度规范化建设。健全乡镇（街道）到村居（社区）的基层应急队伍体系，整合基层警务、消防、民兵、医务、物业、志愿者等力量，组建</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一专多能</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的基层综合应急救援队伍，规范队伍组成结构与职责分工。强化站点实战效能，推动与119、120等应急报警渠道深度绑定，发挥其在风险巡查、先期处置、人员疏散和信息速报等方面的</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打早打小</w:t>
      </w:r>
      <w:r>
        <w:rPr>
          <w:rFonts w:hint="eastAsia" w:eastAsia="方正仿宋简体" w:cs="Times New Roman"/>
          <w:color w:val="auto"/>
          <w:sz w:val="32"/>
          <w:szCs w:val="32"/>
          <w:highlight w:val="none"/>
        </w:rPr>
        <w:t>”</w:t>
      </w:r>
      <w:r>
        <w:rPr>
          <w:rFonts w:eastAsia="方正仿宋简体" w:cs="Times New Roman"/>
          <w:color w:val="auto"/>
          <w:sz w:val="32"/>
          <w:szCs w:val="32"/>
          <w:highlight w:val="none"/>
        </w:rPr>
        <w:t>作用。加强队伍装备配备和技能培训，完善培训演练与能力评估机制，健全队伍保障与激励机制，提升基层应急队伍的应急处置和协同作战能力。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2" w:name="_Toc23388"/>
      <w:r>
        <w:rPr>
          <w:rFonts w:ascii="方正楷体简体" w:hAnsi="方正楷体简体" w:eastAsia="方正楷体简体" w:cs="方正楷体简体"/>
          <w:color w:val="auto"/>
          <w:sz w:val="32"/>
          <w:highlight w:val="none"/>
        </w:rPr>
        <w:t>（四）强化基层应急保障支撑</w:t>
      </w:r>
      <w:bookmarkEnd w:id="92"/>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color w:val="auto"/>
          <w:sz w:val="32"/>
          <w:szCs w:val="32"/>
          <w:highlight w:val="none"/>
        </w:rPr>
      </w:pPr>
      <w:r>
        <w:rPr>
          <w:rFonts w:eastAsia="方正仿宋简体"/>
          <w:color w:val="auto"/>
          <w:sz w:val="32"/>
          <w:szCs w:val="32"/>
          <w:highlight w:val="none"/>
        </w:rPr>
        <w:t>健全基层应急装备物资日常管理制度，在乡镇（街道）和重点村（社区）配备通信报警、发电照明、排水泵、救生衣等常用应急装备物资，建立台账并定期维护保养，确保随时可用。完善基层应急通信保障网络，为偏远地区、灾害易发区配备卫星电话、对讲机等保底通信设备，提升</w:t>
      </w:r>
      <w:r>
        <w:rPr>
          <w:rFonts w:hint="eastAsia" w:eastAsia="方正仿宋简体"/>
          <w:color w:val="auto"/>
          <w:sz w:val="32"/>
          <w:szCs w:val="32"/>
          <w:highlight w:val="none"/>
        </w:rPr>
        <w:t>“</w:t>
      </w:r>
      <w:r>
        <w:rPr>
          <w:rFonts w:eastAsia="方正仿宋简体"/>
          <w:color w:val="auto"/>
          <w:sz w:val="32"/>
          <w:szCs w:val="32"/>
          <w:highlight w:val="none"/>
        </w:rPr>
        <w:t>断电、断路、断网</w:t>
      </w:r>
      <w:r>
        <w:rPr>
          <w:rFonts w:hint="eastAsia" w:eastAsia="方正仿宋简体"/>
          <w:color w:val="auto"/>
          <w:sz w:val="32"/>
          <w:szCs w:val="32"/>
          <w:highlight w:val="none"/>
        </w:rPr>
        <w:t>”</w:t>
      </w:r>
      <w:r>
        <w:rPr>
          <w:rFonts w:eastAsia="方正仿宋简体"/>
          <w:color w:val="auto"/>
          <w:sz w:val="32"/>
          <w:szCs w:val="32"/>
          <w:highlight w:val="none"/>
        </w:rPr>
        <w:t>极端条件下的通信保底能力。完善基层应急值班值守制度，明确人员安排和信息报送流程，确保突发情况第一时间响应。加强基层应急标识系统建设，规范设置应急避难场所指示牌、疏散路线图等，提升群众应急避险指引的清晰度。建立特殊群体应急帮扶机制，针对老幼病残孕等群体，明确紧急情况下包保联系人和帮扶措施。</w:t>
      </w:r>
      <w:bookmarkStart w:id="93" w:name="_Toc212236776"/>
    </w:p>
    <w:p>
      <w:pPr>
        <w:pStyle w:val="2"/>
        <w:keepNext w:val="0"/>
        <w:keepLines w:val="0"/>
        <w:pageBreakBefore w:val="0"/>
        <w:widowControl w:val="0"/>
        <w:kinsoku/>
        <w:wordWrap/>
        <w:overflowPunct/>
        <w:topLinePunct w:val="0"/>
        <w:autoSpaceDE/>
        <w:autoSpaceDN/>
        <w:bidi w:val="0"/>
        <w:snapToGrid/>
        <w:spacing w:before="0" w:after="0" w:line="578" w:lineRule="exact"/>
        <w:ind w:firstLine="1927" w:firstLineChars="600"/>
        <w:textAlignment w:val="auto"/>
        <w:rPr>
          <w:rFonts w:hint="eastAsia" w:ascii="方正黑体简体" w:hAnsi="方正黑体简体" w:eastAsia="方正黑体简体" w:cs="方正黑体简体"/>
          <w:b/>
          <w:bCs/>
          <w:color w:val="auto"/>
          <w:szCs w:val="32"/>
          <w:highlight w:val="none"/>
        </w:rPr>
      </w:pPr>
      <w:bookmarkStart w:id="94" w:name="_Toc17776"/>
      <w:r>
        <w:rPr>
          <w:rFonts w:hint="eastAsia" w:ascii="方正黑体简体" w:hAnsi="方正黑体简体" w:eastAsia="方正黑体简体" w:cs="方正黑体简体"/>
          <w:b/>
          <w:bCs/>
          <w:color w:val="auto"/>
          <w:szCs w:val="32"/>
          <w:highlight w:val="none"/>
        </w:rPr>
        <w:t>第十三章  新质生产力赋能智慧应急</w:t>
      </w:r>
      <w:bookmarkEnd w:id="93"/>
      <w:bookmarkEnd w:id="94"/>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坚持科技创新，把握科技革命机遇，强化先进技术应用，推动人工智能、大数据等新技术与应急管理深度融合，培育安全应急产业，以科技创新驱动应急管理能力现代化。</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5" w:name="_Toc212236777"/>
      <w:bookmarkStart w:id="96" w:name="_Toc16473"/>
      <w:r>
        <w:rPr>
          <w:rFonts w:hint="eastAsia" w:ascii="方正楷体简体" w:hAnsi="方正楷体简体" w:eastAsia="方正楷体简体" w:cs="方正楷体简体"/>
          <w:color w:val="auto"/>
          <w:sz w:val="32"/>
          <w:highlight w:val="none"/>
        </w:rPr>
        <w:t>（一）强化应急装备配置</w:t>
      </w:r>
      <w:bookmarkEnd w:id="95"/>
      <w:bookmarkEnd w:id="96"/>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立足全市主要灾害事故特点和救援任务需求，加快适用应急装备配备应用，加快人工智能、大数据、智能感知等技术在应急通信、监测预警、救援指挥等环节的集成应用，抢抓低空经济发展机遇，推动无人机等低空装备在应急管理领域规模化应用。强化“人工智能+应急装备”技术融合，重点提升应急装备的智能化、精准化及远程操控水平，全面提升应急装备的科技含量与实战效能，推动应急管理向无人化、智能化、自动化转型。</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7" w:name="_Toc212236779"/>
      <w:bookmarkStart w:id="98" w:name="_Toc28066"/>
      <w:r>
        <w:rPr>
          <w:rFonts w:hint="eastAsia" w:ascii="方正楷体简体" w:hAnsi="方正楷体简体" w:eastAsia="方正楷体简体" w:cs="方正楷体简体"/>
          <w:color w:val="auto"/>
          <w:sz w:val="32"/>
          <w:highlight w:val="none"/>
        </w:rPr>
        <w:t>（二）培育安全应急产业</w:t>
      </w:r>
      <w:bookmarkEnd w:id="97"/>
      <w:bookmarkEnd w:id="98"/>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促进应急救援装备、安全防护产品及应急服务等产业集聚发展，强化企业培育。完善政策引导与应急产业布局，聚焦人工智能，大数据，物联网等高新技术，深化产学研用协同创新，鼓励企业与高校、科研机构合作开展应急技术研发与成果转化，构筑区域性安全应急产业创新高地。推动培育装备优先在本地应急演练、隐患排查、突发事件处置中试用迭代，提升应急装备自给率与突发事件快速保障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99" w:name="_Toc28521"/>
      <w:r>
        <w:rPr>
          <w:rFonts w:hint="eastAsia" w:ascii="方正楷体简体" w:hAnsi="方正楷体简体" w:eastAsia="方正楷体简体" w:cs="方正楷体简体"/>
          <w:color w:val="auto"/>
          <w:sz w:val="32"/>
          <w:highlight w:val="none"/>
        </w:rPr>
        <w:t>（三）提升科技支撑能力</w:t>
      </w:r>
      <w:bookmarkEnd w:id="99"/>
    </w:p>
    <w:p>
      <w:pPr>
        <w:pStyle w:val="13"/>
        <w:keepNext w:val="0"/>
        <w:keepLines w:val="0"/>
        <w:pageBreakBefore w:val="0"/>
        <w:widowControl w:val="0"/>
        <w:kinsoku/>
        <w:wordWrap/>
        <w:overflowPunct/>
        <w:topLinePunct w:val="0"/>
        <w:autoSpaceDE/>
        <w:autoSpaceDN/>
        <w:bidi w:val="0"/>
        <w:snapToGrid/>
        <w:spacing w:before="0" w:after="0" w:line="578" w:lineRule="exact"/>
        <w:ind w:firstLine="482" w:firstLineChars="0"/>
        <w:textAlignment w:val="auto"/>
        <w:rPr>
          <w:rFonts w:eastAsia="仿宋"/>
          <w:color w:val="auto"/>
          <w:sz w:val="32"/>
          <w:szCs w:val="32"/>
          <w:highlight w:val="none"/>
        </w:rPr>
      </w:pPr>
      <w:r>
        <w:rPr>
          <w:rFonts w:hint="eastAsia" w:eastAsia="方正仿宋简体"/>
          <w:color w:val="auto"/>
          <w:sz w:val="32"/>
          <w:szCs w:val="32"/>
          <w:highlight w:val="none"/>
        </w:rPr>
        <w:t>融合本地数据资源，围绕安全生产、防灾减灾救灾、应急救援、综合管理等领域，建设本地特色高质量数据集。充分应用应急管理部统一建设的应急管理行业“久安”大模型，探索应急知识问答、图像隐患识别、数字人等场景应用，构建“人工智能+应急管理”特色应用体系，促进人工智能与应急管理深度融合。严格落实网络安全管理制度和数据分类分级保护制度，防范模型篡改、算法漏洞等针对人工智能的新型安全风险。</w:t>
      </w:r>
    </w:p>
    <w:p>
      <w:pPr>
        <w:pStyle w:val="2"/>
        <w:keepNext w:val="0"/>
        <w:keepLines w:val="0"/>
        <w:pageBreakBefore w:val="0"/>
        <w:widowControl w:val="0"/>
        <w:kinsoku/>
        <w:wordWrap/>
        <w:overflowPunct/>
        <w:topLinePunct w:val="0"/>
        <w:autoSpaceDE/>
        <w:autoSpaceDN/>
        <w:bidi w:val="0"/>
        <w:snapToGrid/>
        <w:spacing w:before="0" w:after="0" w:line="578" w:lineRule="exact"/>
        <w:jc w:val="center"/>
        <w:textAlignment w:val="auto"/>
        <w:rPr>
          <w:rFonts w:hint="eastAsia" w:ascii="方正黑体简体" w:hAnsi="方正黑体简体" w:eastAsia="方正黑体简体" w:cs="方正黑体简体"/>
          <w:b/>
          <w:bCs/>
          <w:color w:val="auto"/>
          <w:szCs w:val="32"/>
          <w:highlight w:val="none"/>
        </w:rPr>
      </w:pPr>
      <w:bookmarkStart w:id="100" w:name="_Toc25123"/>
      <w:bookmarkStart w:id="101" w:name="_Toc212236780"/>
      <w:r>
        <w:rPr>
          <w:rFonts w:hint="eastAsia" w:ascii="方正黑体简体" w:hAnsi="方正黑体简体" w:eastAsia="方正黑体简体" w:cs="方正黑体简体"/>
          <w:b/>
          <w:bCs/>
          <w:color w:val="auto"/>
          <w:szCs w:val="32"/>
          <w:highlight w:val="none"/>
        </w:rPr>
        <w:t>第十四章  提升应急管理法治化水平</w:t>
      </w:r>
      <w:bookmarkEnd w:id="10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坚持依法守法、规范执法、普法惠民，健全应急管理法治保障体系，推动应急管理各项工作在法治轨道上规范运行。</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2" w:name="_Toc8952"/>
      <w:r>
        <w:rPr>
          <w:rFonts w:hint="eastAsia" w:ascii="方正楷体简体" w:hAnsi="方正楷体简体" w:eastAsia="方正楷体简体" w:cs="方正楷体简体"/>
          <w:color w:val="auto"/>
          <w:sz w:val="32"/>
          <w:highlight w:val="none"/>
        </w:rPr>
        <w:t>（一）加强法规标准宣贯实施</w:t>
      </w:r>
      <w:bookmarkEnd w:id="102"/>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围绕安全生产、防灾减灾救灾等重点领域，系统开展国家和省级法律法规、标准规范的宣传解读和贯彻实施。梳理汇总重点行业领域法规标准要点，编制简明操作指引或应知应会手册，分行业、分层次开展针对性培训，推动法规标准要求转化为企业日常管理和基层具体工作的操作规范。建立法规标准实施情况跟踪机制，及时掌握执行中的问题和难点，为上级立法立规提供实践参考。利用政府网站、政务新媒体等平台，及时公开相关法规标准，方便企业和公众查询使用。</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3" w:name="_Toc20955"/>
      <w:r>
        <w:rPr>
          <w:rFonts w:hint="eastAsia" w:ascii="方正楷体简体" w:hAnsi="方正楷体简体" w:eastAsia="方正楷体简体" w:cs="方正楷体简体"/>
          <w:color w:val="auto"/>
          <w:sz w:val="32"/>
          <w:highlight w:val="none"/>
        </w:rPr>
        <w:t>（二）提升行政执法质效</w:t>
      </w:r>
      <w:bookmarkEnd w:id="103"/>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深化应急管理综合行政执法改革，健全分级分类执法监管机制，建立并落实执法、监管、许可和巡查</w:t>
      </w:r>
      <w:r>
        <w:rPr>
          <w:rFonts w:hint="eastAsia" w:eastAsia="方正仿宋简体" w:cs="Times New Roman"/>
          <w:color w:val="auto"/>
          <w:sz w:val="32"/>
          <w:szCs w:val="32"/>
          <w:highlight w:val="none"/>
          <w:lang w:eastAsia="zh-CN"/>
        </w:rPr>
        <w:t>融合联动工作</w:t>
      </w:r>
      <w:r>
        <w:rPr>
          <w:rFonts w:hint="eastAsia" w:eastAsia="方正仿宋简体" w:cs="Times New Roman"/>
          <w:color w:val="auto"/>
          <w:sz w:val="32"/>
          <w:szCs w:val="32"/>
          <w:highlight w:val="none"/>
        </w:rPr>
        <w:t>机制，推行“综合查一次”执法模式，减少重复检查、多头执法。加强执法队伍专业化建设，常态化开展执法业务培训和案卷评查，提升执法人员现场检查和案件办理能力。规范执法行为，细化自由裁量基准，严格落实行政执法公示、执法全过程记录、重大执法决定法制审核制度。强化执法装备配备，推广应用移动执法终端、无人机巡查等信息化手段，探索非现场执法模式，提升执法智能化水平。健全执法监督机制，畅通投诉举报渠道，自觉接受社会监督。</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4" w:name="_Toc31673"/>
      <w:r>
        <w:rPr>
          <w:rFonts w:hint="eastAsia" w:ascii="方正楷体简体" w:hAnsi="方正楷体简体" w:eastAsia="方正楷体简体" w:cs="方正楷体简体"/>
          <w:color w:val="auto"/>
          <w:sz w:val="32"/>
          <w:highlight w:val="none"/>
        </w:rPr>
        <w:t>（三）深化事故调查评估与警示教育</w:t>
      </w:r>
      <w:bookmarkEnd w:id="104"/>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依法依规组织开展生产安全事故调查，严格认定事故性质和责任，提出针对性防范整改措施。健全事故调查处理挂牌督办、审核备案制度，加强对下级事故调查工作的指导和监督。建立典型事故案例深度剖析机制，从技术、管理、责任等层面深入分析原因，编制事故案例分析报告。完善事故警示教育制度，通过召开现场会、制作警示教育片、编印案例汇编等方式，用身边事教育身边人，推动同类企业举一反三、吸取教训。建立事故整改措施落实评估机制，定期对事故整改情况进行跟踪问效，确保整改措施落地见效。针对事故暴露出的突出问题，及时向相关行业领域发出预警提示。</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5" w:name="_Toc31354"/>
      <w:r>
        <w:rPr>
          <w:rFonts w:hint="eastAsia" w:ascii="方正楷体简体" w:hAnsi="方正楷体简体" w:eastAsia="方正楷体简体" w:cs="方正楷体简体"/>
          <w:color w:val="auto"/>
          <w:sz w:val="32"/>
          <w:highlight w:val="none"/>
        </w:rPr>
        <w:t>（四）推进应急管理普法宣传</w:t>
      </w:r>
      <w:bookmarkEnd w:id="10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仿宋" w:cs="Times New Roman"/>
          <w:color w:val="auto"/>
          <w:sz w:val="32"/>
          <w:szCs w:val="32"/>
          <w:highlight w:val="none"/>
        </w:rPr>
      </w:pPr>
      <w:r>
        <w:rPr>
          <w:rFonts w:hint="eastAsia" w:eastAsia="方正仿宋简体" w:cs="Times New Roman"/>
          <w:color w:val="auto"/>
          <w:sz w:val="32"/>
          <w:szCs w:val="32"/>
          <w:highlight w:val="none"/>
        </w:rPr>
        <w:t>将应急管理普法纳入全民普法规划，结合“安全生产月”、“防灾减灾日”、“消防宣传月”等重要节点，集中开展主题普法活动。创新普法形式，运用以案释法、情景模拟、法律知识竞赛等方式，增强普法的吸引力和实效性。推动普法进机关、进乡村、进社区、进学校、进企业，针对不同群体分类开展精准普法。加强新媒体普法平台建设，利用微信公众号、短视频等载体，扩大普法覆盖面和影响力。将普法融入监管执法全过程，营造</w:t>
      </w:r>
      <w:r>
        <w:rPr>
          <w:rFonts w:hint="eastAsia" w:eastAsia="方正仿宋简体" w:cs="Times New Roman"/>
          <w:color w:val="auto"/>
          <w:sz w:val="32"/>
          <w:szCs w:val="32"/>
          <w:highlight w:val="none"/>
          <w:lang w:eastAsia="zh-CN"/>
        </w:rPr>
        <w:t>遵</w:t>
      </w:r>
      <w:r>
        <w:rPr>
          <w:rFonts w:hint="eastAsia" w:eastAsia="方正仿宋简体" w:cs="Times New Roman"/>
          <w:color w:val="auto"/>
          <w:sz w:val="32"/>
          <w:szCs w:val="32"/>
          <w:highlight w:val="none"/>
        </w:rPr>
        <w:t>法学法守法用法的良好氛围。</w:t>
      </w:r>
    </w:p>
    <w:p>
      <w:pPr>
        <w:pStyle w:val="2"/>
        <w:keepNext w:val="0"/>
        <w:keepLines w:val="0"/>
        <w:pageBreakBefore w:val="0"/>
        <w:widowControl w:val="0"/>
        <w:kinsoku/>
        <w:wordWrap/>
        <w:overflowPunct/>
        <w:topLinePunct w:val="0"/>
        <w:autoSpaceDE/>
        <w:autoSpaceDN/>
        <w:bidi w:val="0"/>
        <w:snapToGrid/>
        <w:spacing w:before="0" w:after="0" w:line="578" w:lineRule="exact"/>
        <w:jc w:val="center"/>
        <w:textAlignment w:val="auto"/>
        <w:rPr>
          <w:rFonts w:hint="eastAsia" w:ascii="方正黑体简体" w:hAnsi="方正黑体简体" w:eastAsia="方正黑体简体" w:cs="方正黑体简体"/>
          <w:b/>
          <w:bCs/>
          <w:color w:val="auto"/>
          <w:szCs w:val="32"/>
          <w:highlight w:val="none"/>
        </w:rPr>
      </w:pPr>
      <w:bookmarkStart w:id="106" w:name="_Toc26969"/>
      <w:r>
        <w:rPr>
          <w:rFonts w:hint="eastAsia" w:ascii="方正黑体简体" w:hAnsi="方正黑体简体" w:eastAsia="方正黑体简体" w:cs="方正黑体简体"/>
          <w:b/>
          <w:bCs/>
          <w:color w:val="auto"/>
          <w:szCs w:val="32"/>
          <w:highlight w:val="none"/>
        </w:rPr>
        <w:t xml:space="preserve">第十五章  </w:t>
      </w:r>
      <w:bookmarkEnd w:id="101"/>
      <w:r>
        <w:rPr>
          <w:rFonts w:hint="eastAsia" w:ascii="方正黑体简体" w:hAnsi="方正黑体简体" w:eastAsia="方正黑体简体" w:cs="方正黑体简体"/>
          <w:b/>
          <w:bCs/>
          <w:color w:val="auto"/>
          <w:szCs w:val="32"/>
          <w:highlight w:val="none"/>
        </w:rPr>
        <w:t>开展素质固安“安全明白人”建设工程</w:t>
      </w:r>
      <w:bookmarkEnd w:id="106"/>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仿宋"/>
          <w:color w:val="auto"/>
          <w:sz w:val="32"/>
          <w:szCs w:val="32"/>
          <w:highlight w:val="none"/>
        </w:rPr>
      </w:pPr>
      <w:r>
        <w:rPr>
          <w:rFonts w:hint="eastAsia" w:eastAsia="方正仿宋简体"/>
          <w:color w:val="auto"/>
          <w:sz w:val="32"/>
          <w:szCs w:val="32"/>
          <w:highlight w:val="none"/>
        </w:rPr>
        <w:t>以素质固安“安全明白人”建设工程为抓手，营造安全文化氛围，切实增强公众风险防范意识和自救互救能力。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7" w:name="_Toc31433"/>
      <w:bookmarkStart w:id="108" w:name="_Toc212236781"/>
      <w:r>
        <w:rPr>
          <w:rFonts w:hint="eastAsia" w:ascii="方正楷体简体" w:hAnsi="方正楷体简体" w:eastAsia="方正楷体简体" w:cs="方正楷体简体"/>
          <w:color w:val="auto"/>
          <w:sz w:val="32"/>
          <w:highlight w:val="none"/>
        </w:rPr>
        <w:t>（一）完善科普宣传教育体系</w:t>
      </w:r>
      <w:bookmarkEnd w:id="107"/>
      <w:bookmarkEnd w:id="108"/>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构建覆盖全社会、多层次的全民安全科普教育体系，建立多部门协同联动工作机制，明确职责分工，将安全科普工作纳入政府考核体系。制定科学合理的考核指标，完善培训效果评估和激励表彰制度，推动企业将安全培训与员工绩效考核挂钩。加强安全科普资源与平台建设，丰富宣传教育内容与形式，形成常态化、制度化、规范化的安全科普工作格局，全面提升全民安全意识和自救互救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09" w:name="_Toc3587"/>
      <w:bookmarkStart w:id="110" w:name="_Toc212236783"/>
      <w:r>
        <w:rPr>
          <w:rFonts w:hint="eastAsia" w:ascii="方正楷体简体" w:hAnsi="方正楷体简体" w:eastAsia="方正楷体简体" w:cs="方正楷体简体"/>
          <w:color w:val="auto"/>
          <w:sz w:val="32"/>
          <w:highlight w:val="none"/>
        </w:rPr>
        <w:t>（二）培育企业安全生产“明白人”</w:t>
      </w:r>
      <w:bookmarkEnd w:id="109"/>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推动企业围绕负责人、安全管理人员和关键岗位人员三类核心群体开展精准化、系统化培训，强化安全法治意识、风险管控能力和现场应急处置技能。建立并规范“明白人”选拔、培养、使用与激励管理机制，将其履职情况纳入企业安全绩效考核，定期组织技能比武与案例复盘，确保切实发挥安全管理骨干作用，带动企业全员安全素质提升。</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11" w:name="_Toc6311"/>
      <w:r>
        <w:rPr>
          <w:rFonts w:hint="eastAsia" w:ascii="方正楷体简体" w:hAnsi="方正楷体简体" w:eastAsia="方正楷体简体" w:cs="方正楷体简体"/>
          <w:color w:val="auto"/>
          <w:sz w:val="32"/>
          <w:highlight w:val="none"/>
        </w:rPr>
        <w:t>（三）创新安全生产培训考试机制</w:t>
      </w:r>
      <w:bookmarkEnd w:id="11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优化安全生产考试监管体系，强化培训资源整合与资格考试点标准化建设。持续抓好企业主要负责人、安全管理人员和特种作业人员等“三项岗位”人员的安全生产培训与考试工作，推动培训考核统一化、规范化、智能化建设。探索应用人工智能、物联网等技术实施理论监考和特种作业实操考试辅助评分，打造高水平安全生产资格考试点，实现培训过程可追溯、考试结果可验证、人员资质可动态管理，全面提升从业人员安全素质和实操技能。</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12" w:name="_Toc6900"/>
      <w:r>
        <w:rPr>
          <w:rFonts w:hint="eastAsia" w:ascii="方正楷体简体" w:hAnsi="方正楷体简体" w:eastAsia="方正楷体简体" w:cs="方正楷体简体"/>
          <w:color w:val="auto"/>
          <w:sz w:val="32"/>
          <w:highlight w:val="none"/>
        </w:rPr>
        <w:t>（四）营造社会安全文化氛围</w:t>
      </w:r>
      <w:bookmarkEnd w:id="110"/>
      <w:bookmarkEnd w:id="112"/>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紧密围绕“安全生产月”“防灾减灾日”“消防宣传月”等关键活动节点，开展面向干部职工、企业员工和社会公众的系列安全宣传活动。通过知识竞赛、专题讲座、文艺汇演等形式普及安全知识。鼓励文艺工作者创作安全主题文化作品，以群众喜闻乐见的形式传播安全知识，通过送教下乡、志愿服务、文化传播、警示教育、公益广告等多种形式，深化针对企业职工、社区居民、在校学生等重点群体的精准化宣传教育，在全社会营造“人人讲安全”的安全文化氛围。</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13" w:name="_Toc212236784"/>
      <w:bookmarkStart w:id="114" w:name="_Toc8143"/>
      <w:r>
        <w:rPr>
          <w:rFonts w:hint="eastAsia" w:ascii="方正楷体简体" w:hAnsi="方正楷体简体" w:eastAsia="方正楷体简体" w:cs="方正楷体简体"/>
          <w:color w:val="auto"/>
          <w:sz w:val="32"/>
          <w:highlight w:val="none"/>
        </w:rPr>
        <w:t>（五）提升科普宣传实效</w:t>
      </w:r>
      <w:bookmarkEnd w:id="113"/>
      <w:bookmarkEnd w:id="114"/>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仿宋"/>
          <w:color w:val="auto"/>
          <w:sz w:val="32"/>
          <w:szCs w:val="32"/>
          <w:highlight w:val="none"/>
        </w:rPr>
      </w:pPr>
      <w:r>
        <w:rPr>
          <w:rFonts w:hint="eastAsia" w:eastAsia="方正仿宋简体"/>
          <w:color w:val="auto"/>
          <w:sz w:val="32"/>
          <w:szCs w:val="32"/>
          <w:highlight w:val="none"/>
        </w:rPr>
        <w:t>建立科普宣传效果评估机制，针对企业、社区、学校等不同群体制定差异化宣传教育方案。运用大数据分析公众知识盲区和信息获取偏好，动态优化宣传内容和投放渠道。强化宣传成果转化应用，将科普宣传成效纳入相关考核评价体系，确保安全知识真正转化为公众的应急行为和自救能力。</w:t>
      </w:r>
    </w:p>
    <w:p>
      <w:pPr>
        <w:pStyle w:val="2"/>
        <w:keepNext w:val="0"/>
        <w:keepLines w:val="0"/>
        <w:pageBreakBefore w:val="0"/>
        <w:widowControl w:val="0"/>
        <w:kinsoku/>
        <w:wordWrap/>
        <w:overflowPunct/>
        <w:topLinePunct w:val="0"/>
        <w:autoSpaceDE/>
        <w:autoSpaceDN/>
        <w:bidi w:val="0"/>
        <w:snapToGrid/>
        <w:spacing w:before="0" w:after="0" w:line="578" w:lineRule="exact"/>
        <w:ind w:firstLine="2248" w:firstLineChars="700"/>
        <w:textAlignment w:val="auto"/>
        <w:rPr>
          <w:rFonts w:hint="eastAsia" w:ascii="方正黑体简体" w:hAnsi="方正黑体简体" w:eastAsia="方正黑体简体" w:cs="方正黑体简体"/>
          <w:b/>
          <w:bCs/>
          <w:color w:val="auto"/>
          <w:szCs w:val="32"/>
          <w:highlight w:val="none"/>
        </w:rPr>
      </w:pPr>
      <w:bookmarkStart w:id="115" w:name="_Toc212236785"/>
      <w:bookmarkStart w:id="116" w:name="_Toc22184"/>
      <w:r>
        <w:rPr>
          <w:rFonts w:hint="eastAsia" w:ascii="方正黑体简体" w:hAnsi="方正黑体简体" w:eastAsia="方正黑体简体" w:cs="方正黑体简体"/>
          <w:b/>
          <w:bCs/>
          <w:color w:val="auto"/>
          <w:szCs w:val="32"/>
          <w:highlight w:val="none"/>
        </w:rPr>
        <w:t>第十六章  培育高素质应急人才</w:t>
      </w:r>
      <w:bookmarkEnd w:id="115"/>
      <w:bookmarkEnd w:id="116"/>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实施人才强业战略，完善工作机制，加强专业培养，建强干部队伍，打造实战型应急专家智库，为应急管理事业提供坚实人才支撑。</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lang w:val="en-US" w:eastAsia="zh-CN"/>
        </w:rPr>
      </w:pPr>
      <w:bookmarkStart w:id="117" w:name="_Toc26578"/>
      <w:r>
        <w:rPr>
          <w:rFonts w:hint="eastAsia" w:ascii="方正楷体简体" w:hAnsi="方正楷体简体" w:eastAsia="方正楷体简体" w:cs="方正楷体简体"/>
          <w:color w:val="auto"/>
          <w:sz w:val="32"/>
          <w:highlight w:val="none"/>
          <w:lang w:val="en-US" w:eastAsia="zh-CN"/>
        </w:rPr>
        <w:t>（一）完善干部选用工作机制</w:t>
      </w:r>
      <w:bookmarkEnd w:id="1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简体"/>
          <w:color w:val="auto"/>
          <w:sz w:val="32"/>
          <w:szCs w:val="32"/>
          <w:highlight w:val="none"/>
        </w:rPr>
      </w:pPr>
      <w:r>
        <w:rPr>
          <w:rFonts w:hint="eastAsia" w:ascii="Times New Roman" w:hAnsi="Times New Roman" w:eastAsia="方正仿宋简体" w:cs="Times New Roman"/>
          <w:color w:val="auto"/>
          <w:sz w:val="32"/>
          <w:szCs w:val="40"/>
          <w:highlight w:val="none"/>
          <w:lang w:eastAsia="zh-CN"/>
        </w:rPr>
        <w:t>坚持党管干部原则，严格遵循“因事择人、因岗选人、人岗相适”要求，持续提升全市应急管理干部专业化水平。通过优化调任、转任、考录等进人渠道，持续提高具有核心专业、相关工作经历的专业化人才占比；依托专业技术职称评聘等方式，优化人员配备与专业人才适配度，稳步提升核心专业职称占比率。健全基层应急双重管理机制，持续推动应急部门领导班子专业型人才配备，切实提升基层应急管理专业履职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18" w:name="_Toc16740"/>
      <w:bookmarkStart w:id="119" w:name="_Toc212236787"/>
      <w:r>
        <w:rPr>
          <w:rFonts w:hint="eastAsia" w:ascii="方正楷体简体" w:hAnsi="方正楷体简体" w:eastAsia="方正楷体简体" w:cs="方正楷体简体"/>
          <w:color w:val="auto"/>
          <w:sz w:val="32"/>
          <w:highlight w:val="none"/>
        </w:rPr>
        <w:t>（二）建强应急管理干部队伍</w:t>
      </w:r>
      <w:bookmarkEnd w:id="118"/>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hint="eastAsia" w:eastAsia="方正仿宋简体"/>
          <w:color w:val="auto"/>
          <w:sz w:val="32"/>
          <w:szCs w:val="32"/>
          <w:highlight w:val="none"/>
        </w:rPr>
      </w:pPr>
      <w:r>
        <w:rPr>
          <w:rFonts w:hint="eastAsia" w:ascii="Times New Roman" w:hAnsi="Times New Roman" w:eastAsia="方正仿宋简体" w:cs="Times New Roman"/>
          <w:color w:val="auto"/>
          <w:sz w:val="32"/>
          <w:szCs w:val="40"/>
          <w:highlight w:val="none"/>
          <w:lang w:eastAsia="zh-CN"/>
        </w:rPr>
        <w:t>动态建立年轻干部储备库，通过基层挂职锻炼、企业一线跟班见学、组建年轻干部突击队等方式，搭建“急难险重”岗位锻炼平台，探索实施年轻干部定向培养机制</w:t>
      </w:r>
      <w:r>
        <w:rPr>
          <w:rFonts w:hint="eastAsia" w:eastAsia="方正仿宋简体"/>
          <w:color w:val="auto"/>
          <w:sz w:val="32"/>
          <w:szCs w:val="32"/>
          <w:highlight w:val="none"/>
        </w:rPr>
        <w:t>。</w:t>
      </w:r>
      <w:r>
        <w:rPr>
          <w:rFonts w:hint="eastAsia" w:ascii="Times New Roman" w:hAnsi="Times New Roman" w:eastAsia="方正仿宋简体" w:cs="Times New Roman"/>
          <w:color w:val="auto"/>
          <w:sz w:val="32"/>
          <w:szCs w:val="40"/>
          <w:highlight w:val="none"/>
          <w:lang w:eastAsia="zh-CN"/>
        </w:rPr>
        <w:t>健全分类分层培养体系，以多岗位锻炼和职业导师制度为抓手，</w:t>
      </w:r>
      <w:r>
        <w:rPr>
          <w:rFonts w:hint="eastAsia" w:eastAsia="方正仿宋简体"/>
          <w:color w:val="auto"/>
          <w:sz w:val="32"/>
          <w:szCs w:val="32"/>
          <w:highlight w:val="none"/>
        </w:rPr>
        <w:t>通过开展年轻干部上讲台、挂职交流、</w:t>
      </w:r>
      <w:r>
        <w:rPr>
          <w:rFonts w:hint="eastAsia" w:ascii="Times New Roman" w:hAnsi="Times New Roman" w:eastAsia="方正仿宋简体" w:cs="Times New Roman"/>
          <w:color w:val="auto"/>
          <w:sz w:val="32"/>
          <w:szCs w:val="40"/>
          <w:highlight w:val="none"/>
          <w:lang w:eastAsia="zh-CN"/>
        </w:rPr>
        <w:t>应急管理通识业务技能培训</w:t>
      </w:r>
      <w:r>
        <w:rPr>
          <w:rFonts w:hint="eastAsia" w:eastAsia="方正仿宋简体" w:cs="Times New Roman"/>
          <w:color w:val="auto"/>
          <w:sz w:val="32"/>
          <w:szCs w:val="40"/>
          <w:highlight w:val="none"/>
          <w:lang w:eastAsia="zh-CN"/>
        </w:rPr>
        <w:t>、</w:t>
      </w:r>
      <w:r>
        <w:rPr>
          <w:rFonts w:hint="eastAsia" w:eastAsia="方正仿宋简体"/>
          <w:color w:val="auto"/>
          <w:sz w:val="32"/>
          <w:szCs w:val="32"/>
          <w:highlight w:val="none"/>
        </w:rPr>
        <w:t>参与重大任务等途径，将理论教育、技能培训、岗位练兵与实战演练有机结合</w:t>
      </w:r>
      <w:r>
        <w:rPr>
          <w:rFonts w:hint="eastAsia" w:eastAsia="方正仿宋简体"/>
          <w:color w:val="auto"/>
          <w:sz w:val="32"/>
          <w:szCs w:val="32"/>
          <w:highlight w:val="none"/>
          <w:lang w:eastAsia="zh-CN"/>
        </w:rPr>
        <w:t>，</w:t>
      </w:r>
      <w:r>
        <w:rPr>
          <w:rFonts w:hint="eastAsia" w:ascii="Times New Roman" w:hAnsi="Times New Roman" w:eastAsia="方正仿宋简体" w:cs="Times New Roman"/>
          <w:color w:val="auto"/>
          <w:sz w:val="32"/>
          <w:szCs w:val="40"/>
          <w:highlight w:val="none"/>
          <w:lang w:eastAsia="zh-CN"/>
        </w:rPr>
        <w:t>实现</w:t>
      </w:r>
      <w:r>
        <w:rPr>
          <w:rFonts w:hint="eastAsia" w:eastAsia="方正仿宋简体" w:cs="Times New Roman"/>
          <w:color w:val="auto"/>
          <w:sz w:val="32"/>
          <w:szCs w:val="40"/>
          <w:highlight w:val="none"/>
          <w:lang w:eastAsia="zh-CN"/>
        </w:rPr>
        <w:t>应急</w:t>
      </w:r>
      <w:r>
        <w:rPr>
          <w:rFonts w:hint="eastAsia" w:ascii="Times New Roman" w:hAnsi="Times New Roman" w:eastAsia="方正仿宋简体" w:cs="Times New Roman"/>
          <w:color w:val="auto"/>
          <w:sz w:val="32"/>
          <w:szCs w:val="40"/>
          <w:highlight w:val="none"/>
          <w:lang w:eastAsia="zh-CN"/>
        </w:rPr>
        <w:t>干部专业能力培训全覆盖。</w:t>
      </w:r>
      <w:bookmarkEnd w:id="119"/>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0" w:name="_Toc212236788"/>
      <w:bookmarkStart w:id="121" w:name="_Toc17137"/>
      <w:r>
        <w:rPr>
          <w:rFonts w:hint="eastAsia" w:ascii="方正楷体简体" w:hAnsi="方正楷体简体" w:eastAsia="方正楷体简体" w:cs="方正楷体简体"/>
          <w:color w:val="auto"/>
          <w:sz w:val="32"/>
          <w:highlight w:val="none"/>
        </w:rPr>
        <w:t>（三）</w:t>
      </w:r>
      <w:bookmarkEnd w:id="120"/>
      <w:r>
        <w:rPr>
          <w:rFonts w:hint="eastAsia" w:ascii="方正楷体简体" w:hAnsi="方正楷体简体" w:eastAsia="方正楷体简体" w:cs="方正楷体简体"/>
          <w:color w:val="auto"/>
          <w:sz w:val="32"/>
          <w:highlight w:val="none"/>
        </w:rPr>
        <w:t>加强专业人才培养</w:t>
      </w:r>
      <w:bookmarkEnd w:id="121"/>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hint="eastAsia" w:eastAsia="方正仿宋简体"/>
          <w:color w:val="auto"/>
          <w:sz w:val="32"/>
          <w:szCs w:val="32"/>
          <w:highlight w:val="none"/>
        </w:rPr>
      </w:pPr>
      <w:r>
        <w:rPr>
          <w:rFonts w:hint="eastAsia" w:eastAsia="方正仿宋简体"/>
          <w:color w:val="auto"/>
          <w:sz w:val="32"/>
          <w:szCs w:val="32"/>
          <w:highlight w:val="none"/>
        </w:rPr>
        <w:t>推动高校优化学科设置，深化产教融合，鼓励企业与高校共建实训基地与科研平台，发挥安全生产与应急救援产教融合共同体作用，推动人才培养与产业需求精准对接。强化师资队伍建设，支持教师参与实践锻炼与科研项目，提升教学与科研能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2" w:name="_Toc13103"/>
      <w:bookmarkStart w:id="123" w:name="_Toc212236789"/>
      <w:r>
        <w:rPr>
          <w:rFonts w:hint="eastAsia" w:ascii="方正楷体简体" w:hAnsi="方正楷体简体" w:eastAsia="方正楷体简体" w:cs="方正楷体简体"/>
          <w:color w:val="auto"/>
          <w:sz w:val="32"/>
          <w:highlight w:val="none"/>
        </w:rPr>
        <w:t>（四）打造实战型应急专家智库</w:t>
      </w:r>
      <w:bookmarkEnd w:id="122"/>
      <w:bookmarkEnd w:id="12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仿宋"/>
          <w:color w:val="auto"/>
          <w:sz w:val="32"/>
          <w:szCs w:val="32"/>
          <w:highlight w:val="none"/>
        </w:rPr>
      </w:pPr>
      <w:r>
        <w:rPr>
          <w:rFonts w:hint="eastAsia" w:eastAsia="方正仿宋简体"/>
          <w:color w:val="auto"/>
          <w:sz w:val="32"/>
          <w:szCs w:val="32"/>
          <w:highlight w:val="none"/>
        </w:rPr>
        <w:t>完善专家遴选、使用与激励机制，组建覆盖多领域的高水平专家队伍。建立专家参与应急管理工作的常态化机制，强化专家在决策咨询、风险评估和应急处置中的技术支撑作用，推动专家建议落地实施。完善专家库动态管理，加强服务保障，构建体系完备、支撑有力、运转高效的应急管理专家智库体系。</w:t>
      </w:r>
    </w:p>
    <w:bookmarkEnd w:id="31"/>
    <w:bookmarkEnd w:id="58"/>
    <w:p>
      <w:pPr>
        <w:pStyle w:val="2"/>
        <w:keepNext w:val="0"/>
        <w:keepLines w:val="0"/>
        <w:pageBreakBefore w:val="0"/>
        <w:widowControl w:val="0"/>
        <w:numPr>
          <w:ilvl w:val="0"/>
          <w:numId w:val="1"/>
        </w:numPr>
        <w:kinsoku/>
        <w:wordWrap/>
        <w:overflowPunct/>
        <w:topLinePunct w:val="0"/>
        <w:autoSpaceDE/>
        <w:autoSpaceDN/>
        <w:bidi w:val="0"/>
        <w:snapToGrid/>
        <w:spacing w:before="0" w:after="0" w:line="578" w:lineRule="exact"/>
        <w:ind w:firstLine="2891" w:firstLineChars="900"/>
        <w:textAlignment w:val="auto"/>
        <w:rPr>
          <w:rFonts w:hint="eastAsia" w:ascii="方正黑体简体" w:hAnsi="方正黑体简体" w:eastAsia="方正黑体简体" w:cs="方正黑体简体"/>
          <w:b/>
          <w:bCs/>
          <w:color w:val="auto"/>
          <w:szCs w:val="32"/>
          <w:highlight w:val="none"/>
        </w:rPr>
      </w:pPr>
      <w:bookmarkStart w:id="124" w:name="_Toc212236790"/>
      <w:r>
        <w:rPr>
          <w:rFonts w:hint="eastAsia" w:ascii="方正黑体简体" w:hAnsi="方正黑体简体" w:eastAsia="方正黑体简体" w:cs="方正黑体简体"/>
          <w:b/>
          <w:bCs/>
          <w:color w:val="auto"/>
          <w:szCs w:val="32"/>
          <w:highlight w:val="none"/>
        </w:rPr>
        <w:t xml:space="preserve"> </w:t>
      </w:r>
      <w:bookmarkStart w:id="125" w:name="_Toc25786"/>
      <w:r>
        <w:rPr>
          <w:rFonts w:hint="eastAsia" w:ascii="方正黑体简体" w:hAnsi="方正黑体简体" w:eastAsia="方正黑体简体" w:cs="方正黑体简体"/>
          <w:b/>
          <w:bCs/>
          <w:color w:val="auto"/>
          <w:szCs w:val="32"/>
          <w:highlight w:val="none"/>
        </w:rPr>
        <w:t>重大工程</w:t>
      </w:r>
      <w:bookmarkEnd w:id="125"/>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聚焦应急指挥、风险管控、责任落实、素质固安、灾害防治、应急救援、人才建设等关键领域，实施一批引领性的重大工程项目。</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6" w:name="_Toc26230"/>
      <w:r>
        <w:rPr>
          <w:rFonts w:hint="eastAsia" w:ascii="方正楷体简体" w:hAnsi="方正楷体简体" w:eastAsia="方正楷体简体" w:cs="方正楷体简体"/>
          <w:color w:val="auto"/>
          <w:sz w:val="32"/>
          <w:highlight w:val="none"/>
        </w:rPr>
        <w:t>（一）现代化应急指挥体系提升工程</w:t>
      </w:r>
      <w:bookmarkEnd w:id="126"/>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升级改造市、县级应急指挥部场所，配备智能化指挥调度设备，推进市应急指挥部机房标准化改造与设备国产化更新，市、县级应急指挥部符合地方应急指挥部建设基本要求。同步建立专职运维机制，搭建跨部门涉灾数据协同体系。组建市、县两级应急指挥通信保障队伍，配备卫星电话、无人机中继等装备，常态化开展实战演练。制定应急指挥通信保障预案，东部山区及灾害易失联区域实现窄带无线通信网络覆盖，具备卫星电话、北斗终端等保底通信手段。</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7" w:name="_Toc1685"/>
      <w:r>
        <w:rPr>
          <w:rFonts w:hint="eastAsia" w:ascii="方正楷体简体" w:hAnsi="方正楷体简体" w:eastAsia="方正楷体简体" w:cs="方正楷体简体"/>
          <w:color w:val="auto"/>
          <w:sz w:val="32"/>
          <w:highlight w:val="none"/>
        </w:rPr>
        <w:t>（二）重点领域安全风险管控工程</w:t>
      </w:r>
      <w:bookmarkEnd w:id="127"/>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strike/>
          <w:dstrike w:val="0"/>
          <w:color w:val="auto"/>
          <w:sz w:val="32"/>
          <w:szCs w:val="32"/>
          <w:highlight w:val="none"/>
        </w:rPr>
      </w:pPr>
      <w:r>
        <w:rPr>
          <w:rFonts w:hint="eastAsia" w:eastAsia="方正仿宋简体" w:cs="Times New Roman"/>
          <w:color w:val="auto"/>
          <w:sz w:val="32"/>
          <w:szCs w:val="32"/>
          <w:highlight w:val="none"/>
        </w:rPr>
        <w:t>完成全市7家化工园区安全风险智能化管控平台建设，全市构成重大危险源的危险化学品生产企业罐区等动火作业实现全过程视频监控，完善封闭管理、应急响应等基础设施。</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8" w:name="_Toc15601"/>
      <w:r>
        <w:rPr>
          <w:rFonts w:hint="eastAsia" w:ascii="方正楷体简体" w:hAnsi="方正楷体简体" w:eastAsia="方正楷体简体" w:cs="方正楷体简体"/>
          <w:color w:val="auto"/>
          <w:sz w:val="32"/>
          <w:highlight w:val="none"/>
        </w:rPr>
        <w:t>（三）安全生产主体责任落实重点工程</w:t>
      </w:r>
      <w:bookmarkEnd w:id="128"/>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hint="eastAsia" w:eastAsia="方正仿宋简体" w:cs="Times New Roman"/>
          <w:color w:val="auto"/>
          <w:sz w:val="32"/>
          <w:szCs w:val="32"/>
          <w:highlight w:val="none"/>
        </w:rPr>
      </w:pPr>
      <w:r>
        <w:rPr>
          <w:rFonts w:hint="eastAsia" w:eastAsia="方正仿宋简体" w:cs="Times New Roman"/>
          <w:color w:val="auto"/>
          <w:sz w:val="32"/>
          <w:szCs w:val="32"/>
          <w:highlight w:val="none"/>
        </w:rPr>
        <w:t>以数字化手段赋能责任落实，创新推行安全生产“考述问”工作机制，建设全市重点行业领域安全生产题库，在各类检查、督导、会议中组织相关责任人“扫码答题”，全面提升安全生产业务知识，进一步推动全市部门安全生产监管责任、企业安全生产主体责任落实，切实增强监管部门、企业相关负责人履行安全生产责任的自觉性和执行力。</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29" w:name="_Toc416"/>
      <w:r>
        <w:rPr>
          <w:rFonts w:hint="eastAsia" w:ascii="方正楷体简体" w:hAnsi="方正楷体简体" w:eastAsia="方正楷体简体" w:cs="方正楷体简体"/>
          <w:color w:val="auto"/>
          <w:sz w:val="32"/>
          <w:highlight w:val="none"/>
        </w:rPr>
        <w:t>（四）素质固安“安全明白人”建设工程</w:t>
      </w:r>
      <w:bookmarkEnd w:id="129"/>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hint="eastAsia" w:ascii="方正仿宋简体" w:hAnsi="方正仿宋简体" w:eastAsia="方正仿宋简体" w:cs="方正仿宋简体"/>
          <w:color w:val="auto"/>
          <w:sz w:val="32"/>
          <w:szCs w:val="32"/>
          <w:highlight w:val="none"/>
        </w:rPr>
      </w:pPr>
      <w:r>
        <w:rPr>
          <w:rFonts w:eastAsia="方正仿宋简体" w:cs="Times New Roman"/>
          <w:color w:val="auto"/>
          <w:sz w:val="32"/>
          <w:szCs w:val="32"/>
          <w:highlight w:val="none"/>
        </w:rPr>
        <w:t>2026年上</w:t>
      </w:r>
      <w:r>
        <w:rPr>
          <w:rFonts w:hint="eastAsia" w:ascii="方正仿宋简体" w:hAnsi="方正仿宋简体" w:eastAsia="方正仿宋简体" w:cs="方正仿宋简体"/>
          <w:color w:val="auto"/>
          <w:sz w:val="32"/>
          <w:szCs w:val="32"/>
          <w:highlight w:val="none"/>
        </w:rPr>
        <w:t>半年，在全市各重点行业领域企业实现“安全明白人”网格化覆盖</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企业决策层和管理层首先成为“安全明白人”</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企业各车间（部门、功能单元）、各班组等具有相对固定的“安全明白人”</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形成职责清晰、管理规范、作用明显的企业“安全明白人”网格体系。</w:t>
      </w:r>
      <w:r>
        <w:rPr>
          <w:rFonts w:eastAsia="方正仿宋简体" w:cs="Times New Roman"/>
          <w:color w:val="auto"/>
          <w:sz w:val="32"/>
          <w:szCs w:val="32"/>
          <w:highlight w:val="none"/>
        </w:rPr>
        <w:t>2026</w:t>
      </w:r>
      <w:r>
        <w:rPr>
          <w:rFonts w:hint="eastAsia" w:ascii="方正仿宋简体" w:hAnsi="方正仿宋简体" w:eastAsia="方正仿宋简体" w:cs="方正仿宋简体"/>
          <w:color w:val="auto"/>
          <w:sz w:val="32"/>
          <w:szCs w:val="32"/>
          <w:highlight w:val="none"/>
        </w:rPr>
        <w:t>年下半年，持续开展培养培训</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力争实现全市各重点行业领域企业“安全明白人”总数量在第一期基础上翻一番。到</w:t>
      </w:r>
      <w:r>
        <w:rPr>
          <w:rFonts w:eastAsia="方正仿宋简体" w:cs="Times New Roman"/>
          <w:color w:val="auto"/>
          <w:sz w:val="32"/>
          <w:szCs w:val="32"/>
          <w:highlight w:val="none"/>
        </w:rPr>
        <w:t>2027</w:t>
      </w:r>
      <w:r>
        <w:rPr>
          <w:rFonts w:hint="eastAsia" w:ascii="方正仿宋简体" w:hAnsi="方正仿宋简体" w:eastAsia="方正仿宋简体" w:cs="方正仿宋简体"/>
          <w:color w:val="auto"/>
          <w:sz w:val="32"/>
          <w:szCs w:val="32"/>
          <w:highlight w:val="none"/>
        </w:rPr>
        <w:t>年上半年</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力争实现全市各重点行业领域企业“安全明白人”总数量在第一期基础上增长两倍</w:t>
      </w:r>
      <w:r>
        <w:rPr>
          <w:rFonts w:hint="eastAsia" w:eastAsia="方正仿宋简体" w:cs="Times New Roman"/>
          <w:color w:val="auto"/>
          <w:sz w:val="32"/>
          <w:szCs w:val="32"/>
          <w:highlight w:val="none"/>
        </w:rPr>
        <w:t>，</w:t>
      </w:r>
      <w:r>
        <w:rPr>
          <w:rFonts w:hint="eastAsia" w:ascii="方正仿宋简体" w:hAnsi="方正仿宋简体" w:eastAsia="方正仿宋简体" w:cs="方正仿宋简体"/>
          <w:color w:val="auto"/>
          <w:sz w:val="32"/>
          <w:szCs w:val="32"/>
          <w:highlight w:val="none"/>
        </w:rPr>
        <w:t>企业安全风险管控和隐患排查治理能力显著跃升。</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0" w:name="_Toc14464"/>
      <w:r>
        <w:rPr>
          <w:rFonts w:hint="eastAsia" w:ascii="方正楷体简体" w:hAnsi="方正楷体简体" w:eastAsia="方正楷体简体" w:cs="方正楷体简体"/>
          <w:color w:val="auto"/>
          <w:sz w:val="32"/>
          <w:highlight w:val="none"/>
        </w:rPr>
        <w:t>（五）重点自然灾害精准防治能力提升工程</w:t>
      </w:r>
      <w:bookmarkEnd w:id="130"/>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实施济宁市森林防灭火专业设施暨</w:t>
      </w:r>
      <w:r>
        <w:rPr>
          <w:rFonts w:hint="eastAsia" w:ascii="方正仿宋简体" w:hAnsi="方正仿宋简体" w:eastAsia="方正仿宋简体" w:cs="方正仿宋简体"/>
          <w:color w:val="auto"/>
          <w:sz w:val="32"/>
          <w:szCs w:val="32"/>
          <w:highlight w:val="none"/>
          <w:lang w:bidi="ar"/>
        </w:rPr>
        <w:t>济宁市“站队库”一体化建设项目</w:t>
      </w:r>
      <w:r>
        <w:rPr>
          <w:rFonts w:hint="eastAsia" w:eastAsia="方正仿宋简体" w:cs="Times New Roman"/>
          <w:color w:val="auto"/>
          <w:sz w:val="32"/>
          <w:szCs w:val="32"/>
          <w:highlight w:val="none"/>
        </w:rPr>
        <w:t>，推进森林扑灭火队伍、物资、装备建设，完善“一山一案”，提升森林防灭火综合防控能力。在微山县增设地震台，安装地震预警终端100套，实现M≥4.0地震预警信息公众全覆盖。加强建设工程抗震设防要求管理，落实第六代地震动参数区划图标准，建设覆盖全市所有乡镇的宏观观测点约100个。编制应急避难场所规划，推动全市避难场所升级改造。</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1" w:name="_Toc4235"/>
      <w:r>
        <w:rPr>
          <w:rFonts w:hint="eastAsia" w:ascii="方正楷体简体" w:hAnsi="方正楷体简体" w:eastAsia="方正楷体简体" w:cs="方正楷体简体"/>
          <w:color w:val="auto"/>
          <w:sz w:val="32"/>
          <w:highlight w:val="none"/>
        </w:rPr>
        <w:t>（六）应急救援能力提升重点工程</w:t>
      </w:r>
      <w:bookmarkEnd w:id="131"/>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依托南四湖建设集水上救援、航空救援、物资储备、训练演练于一体的综合性救援基地。深入推进乡镇基层应急救援站与专职消防队、志愿消防队融合建设，实现全市所有乡镇（街道）均建成基层应急救援站（消防队），纳入“应消一体”管理，逐步提升消防专业人才配备比例。加强基层应急队伍规范化培训，编制乡镇、村居应急预案简明操作手册和应急处置卡。</w:t>
      </w:r>
      <w:bookmarkStart w:id="132" w:name="_Toc224325968"/>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3" w:name="_Toc12309"/>
      <w:r>
        <w:rPr>
          <w:rFonts w:hint="eastAsia" w:ascii="方正楷体简体" w:hAnsi="方正楷体简体" w:eastAsia="方正楷体简体" w:cs="方正楷体简体"/>
          <w:color w:val="auto"/>
          <w:sz w:val="32"/>
          <w:highlight w:val="none"/>
        </w:rPr>
        <w:t>（七）</w:t>
      </w:r>
      <w:bookmarkEnd w:id="132"/>
      <w:bookmarkStart w:id="134" w:name="_Toc224325969"/>
      <w:r>
        <w:rPr>
          <w:rFonts w:hint="eastAsia" w:ascii="方正楷体简体" w:hAnsi="方正楷体简体" w:eastAsia="方正楷体简体" w:cs="方正楷体简体"/>
          <w:color w:val="auto"/>
          <w:sz w:val="32"/>
          <w:highlight w:val="none"/>
        </w:rPr>
        <w:t>“本土专家库”建设工程</w:t>
      </w:r>
      <w:bookmarkEnd w:id="133"/>
      <w:bookmarkEnd w:id="134"/>
    </w:p>
    <w:p>
      <w:pPr>
        <w:keepNext w:val="0"/>
        <w:keepLines w:val="0"/>
        <w:pageBreakBefore w:val="0"/>
        <w:widowControl w:val="0"/>
        <w:kinsoku/>
        <w:wordWrap/>
        <w:overflowPunct/>
        <w:topLinePunct w:val="0"/>
        <w:autoSpaceDE/>
        <w:autoSpaceDN/>
        <w:bidi w:val="0"/>
        <w:snapToGrid/>
        <w:spacing w:after="0" w:line="578" w:lineRule="exact"/>
        <w:ind w:firstLine="640"/>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秉持“专业人做专业事、本地人解本地题”工作思路，从全市企业安全管理人员、技术骨干中，择优选取实践经验丰富、业务能力精湛的行家里手，组建覆盖安全生产重点行业领域的“本土专家库”，为全市生产经营单位提供安全生产技术支撑。健全完善本土专家选拔、聘任、管理、使用、培养、奖惩等工作机制。鼓励本土专家按相同行业或相近服务区域组建本土专家联盟，充分发挥行业自律作用，开展常态化交叉互查、经验分享、技术研讨和联合演练，在保障企业安全发展中互查互学、互帮互促。</w:t>
      </w:r>
    </w:p>
    <w:p>
      <w:pPr>
        <w:keepNext w:val="0"/>
        <w:keepLines w:val="0"/>
        <w:pageBreakBefore w:val="0"/>
        <w:widowControl w:val="0"/>
        <w:kinsoku/>
        <w:wordWrap/>
        <w:overflowPunct/>
        <w:topLinePunct w:val="0"/>
        <w:autoSpaceDE/>
        <w:autoSpaceDN/>
        <w:bidi w:val="0"/>
        <w:snapToGrid/>
        <w:spacing w:after="0" w:line="578" w:lineRule="exact"/>
        <w:ind w:firstLine="2560" w:firstLineChars="800"/>
        <w:textAlignment w:val="auto"/>
        <w:rPr>
          <w:rFonts w:hint="eastAsia" w:ascii="方正黑体简体" w:hAnsi="方正黑体简体" w:eastAsia="方正黑体简体" w:cs="方正黑体简体"/>
          <w:color w:val="auto"/>
          <w:sz w:val="32"/>
          <w:szCs w:val="32"/>
          <w:highlight w:val="none"/>
        </w:rPr>
      </w:pPr>
      <w:r>
        <w:rPr>
          <w:rFonts w:hint="eastAsia" w:ascii="方正黑体简体" w:hAnsi="方正黑体简体" w:eastAsia="方正黑体简体" w:cs="方正黑体简体"/>
          <w:color w:val="auto"/>
          <w:sz w:val="32"/>
          <w:szCs w:val="32"/>
          <w:highlight w:val="none"/>
        </w:rPr>
        <w:t>“十五五”时期重大工程</w:t>
      </w:r>
    </w:p>
    <w:p>
      <w:pPr>
        <w:keepNext w:val="0"/>
        <w:keepLines w:val="0"/>
        <w:pageBreakBefore w:val="0"/>
        <w:widowControl w:val="0"/>
        <w:kinsoku/>
        <w:wordWrap/>
        <w:overflowPunct/>
        <w:topLinePunct w:val="0"/>
        <w:autoSpaceDE/>
        <w:autoSpaceDN/>
        <w:bidi w:val="0"/>
        <w:snapToGrid/>
        <w:spacing w:after="0" w:line="578" w:lineRule="exact"/>
        <w:ind w:firstLine="640"/>
        <w:jc w:val="center"/>
        <w:textAlignment w:val="auto"/>
        <w:rPr>
          <w:rFonts w:hint="eastAsia" w:ascii="方正黑体简体" w:hAnsi="方正黑体简体" w:eastAsia="方正黑体简体" w:cs="方正黑体简体"/>
          <w:color w:val="auto"/>
          <w:sz w:val="32"/>
          <w:szCs w:val="32"/>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9"/>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工程名称</w:t>
            </w:r>
          </w:p>
        </w:tc>
        <w:tc>
          <w:tcPr>
            <w:tcW w:w="5471" w:type="dxa"/>
            <w:vAlign w:val="center"/>
          </w:tcPr>
          <w:p>
            <w:pPr>
              <w:keepNext w:val="0"/>
              <w:keepLines w:val="0"/>
              <w:pageBreakBefore w:val="0"/>
              <w:widowControl w:val="0"/>
              <w:kinsoku/>
              <w:wordWrap/>
              <w:overflowPunct/>
              <w:topLinePunct w:val="0"/>
              <w:autoSpaceDE/>
              <w:autoSpaceDN/>
              <w:bidi w:val="0"/>
              <w:snapToGrid/>
              <w:spacing w:after="0" w:line="578" w:lineRule="exact"/>
              <w:ind w:firstLine="0" w:firstLineChars="0"/>
              <w:jc w:val="center"/>
              <w:textAlignment w:val="auto"/>
              <w:rPr>
                <w:rFonts w:eastAsia="方正仿宋简体" w:cs="Times New Roman"/>
                <w:color w:val="auto"/>
                <w:sz w:val="32"/>
                <w:szCs w:val="32"/>
                <w:highlight w:val="none"/>
              </w:rPr>
            </w:pPr>
            <w:r>
              <w:rPr>
                <w:rFonts w:hint="eastAsia" w:eastAsia="方正仿宋简体" w:cs="Times New Roman"/>
                <w:color w:val="auto"/>
                <w:sz w:val="32"/>
                <w:szCs w:val="32"/>
                <w:highlight w:val="none"/>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1.现代化应急指挥体系提升工程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（1）市、县级应急指挥部场所升级改造项目；（2）东部山区及灾害易失联区域窄带无线通信</w:t>
            </w:r>
            <w:r>
              <w:rPr>
                <w:rFonts w:hint="eastAsia" w:eastAsia="方正楷体简体" w:cs="Times New Roman"/>
                <w:color w:val="auto"/>
                <w:szCs w:val="21"/>
                <w:highlight w:val="none"/>
              </w:rPr>
              <w:t>网络</w:t>
            </w:r>
            <w:r>
              <w:rPr>
                <w:rFonts w:eastAsia="方正楷体简体" w:cs="Times New Roman"/>
                <w:color w:val="auto"/>
                <w:szCs w:val="21"/>
                <w:highlight w:val="none"/>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2.重点领域安全风险管控工程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hint="eastAsia" w:eastAsia="方正楷体简体" w:cs="Times New Roman"/>
                <w:color w:val="auto"/>
                <w:szCs w:val="21"/>
                <w:highlight w:val="none"/>
              </w:rPr>
              <w:t>7家</w:t>
            </w:r>
            <w:r>
              <w:rPr>
                <w:rFonts w:eastAsia="方正楷体简体" w:cs="Times New Roman"/>
                <w:color w:val="auto"/>
                <w:szCs w:val="21"/>
                <w:highlight w:val="none"/>
              </w:rPr>
              <w:t>化工园区安全风险智能化管控平台建设项目。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3.安全生产主体责任落实重点工程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重点行业领域安全生产题库建设项目</w:t>
            </w:r>
            <w:r>
              <w:rPr>
                <w:rFonts w:hint="eastAsia" w:eastAsia="方正楷体简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4.素质固安</w:t>
            </w:r>
            <w:r>
              <w:rPr>
                <w:rFonts w:hint="eastAsia" w:eastAsia="方正楷体简体" w:cs="Times New Roman"/>
                <w:color w:val="auto"/>
                <w:szCs w:val="21"/>
                <w:highlight w:val="none"/>
              </w:rPr>
              <w:t>“</w:t>
            </w:r>
            <w:r>
              <w:rPr>
                <w:rFonts w:eastAsia="方正楷体简体" w:cs="Times New Roman"/>
                <w:color w:val="auto"/>
                <w:szCs w:val="21"/>
                <w:highlight w:val="none"/>
              </w:rPr>
              <w:t>安全明白人</w:t>
            </w:r>
            <w:r>
              <w:rPr>
                <w:rFonts w:hint="eastAsia" w:eastAsia="方正楷体简体" w:cs="Times New Roman"/>
                <w:color w:val="auto"/>
                <w:szCs w:val="21"/>
                <w:highlight w:val="none"/>
              </w:rPr>
              <w:t>”</w:t>
            </w:r>
            <w:r>
              <w:rPr>
                <w:rFonts w:eastAsia="方正楷体简体" w:cs="Times New Roman"/>
                <w:color w:val="auto"/>
                <w:szCs w:val="21"/>
                <w:highlight w:val="none"/>
              </w:rPr>
              <w:t>建设工程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hint="eastAsia" w:eastAsia="方正楷体简体" w:cs="Times New Roman"/>
                <w:color w:val="auto"/>
                <w:szCs w:val="21"/>
                <w:highlight w:val="none"/>
              </w:rPr>
              <w:t>重点行业领域企业“安全明白人”</w:t>
            </w:r>
            <w:r>
              <w:rPr>
                <w:rFonts w:eastAsia="方正楷体简体" w:cs="Times New Roman"/>
                <w:color w:val="auto"/>
                <w:szCs w:val="21"/>
                <w:highlight w:val="none"/>
              </w:rPr>
              <w:t>培育项目。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5.重点自然灾害精准防治能力提升工程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楷体简体" w:cs="Times New Roman"/>
                <w:color w:val="auto"/>
                <w:szCs w:val="21"/>
                <w:highlight w:val="none"/>
              </w:rPr>
            </w:pPr>
            <w:r>
              <w:rPr>
                <w:rFonts w:eastAsia="方正楷体简体" w:cs="Times New Roman"/>
                <w:color w:val="auto"/>
                <w:szCs w:val="21"/>
                <w:highlight w:val="none"/>
              </w:rPr>
              <w:t>（1）</w:t>
            </w:r>
            <w:r>
              <w:rPr>
                <w:rFonts w:hint="eastAsia" w:eastAsia="方正楷体简体" w:cs="Times New Roman"/>
                <w:color w:val="auto"/>
                <w:szCs w:val="21"/>
                <w:highlight w:val="none"/>
              </w:rPr>
              <w:t>济宁市“站队库”一体化建设项目；</w:t>
            </w:r>
          </w:p>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楷体简体" w:cs="Times New Roman"/>
                <w:color w:val="auto"/>
                <w:szCs w:val="21"/>
                <w:highlight w:val="none"/>
              </w:rPr>
            </w:pPr>
            <w:r>
              <w:rPr>
                <w:rFonts w:hint="eastAsia" w:eastAsia="方正楷体简体" w:cs="Times New Roman"/>
                <w:color w:val="auto"/>
                <w:szCs w:val="21"/>
                <w:highlight w:val="none"/>
              </w:rPr>
              <w:t>（2）</w:t>
            </w:r>
            <w:r>
              <w:rPr>
                <w:rFonts w:eastAsia="方正楷体简体" w:cs="Times New Roman"/>
                <w:color w:val="auto"/>
                <w:szCs w:val="21"/>
                <w:highlight w:val="none"/>
              </w:rPr>
              <w:t>地震监测台网建设</w:t>
            </w:r>
            <w:r>
              <w:rPr>
                <w:rFonts w:hint="eastAsia" w:eastAsia="方正楷体简体" w:cs="Times New Roman"/>
                <w:color w:val="auto"/>
                <w:szCs w:val="21"/>
                <w:highlight w:val="none"/>
              </w:rPr>
              <w:t>项目</w:t>
            </w:r>
            <w:r>
              <w:rPr>
                <w:rFonts w:eastAsia="方正楷体简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r>
              <w:rPr>
                <w:rFonts w:eastAsia="方正楷体简体" w:cs="Times New Roman"/>
                <w:color w:val="auto"/>
                <w:szCs w:val="21"/>
                <w:highlight w:val="none"/>
              </w:rPr>
              <w:t>6.应急救援能力提升重点工程</w:t>
            </w:r>
          </w:p>
        </w:tc>
        <w:tc>
          <w:tcPr>
            <w:tcW w:w="5471"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楷体简体" w:cs="Times New Roman"/>
                <w:color w:val="auto"/>
                <w:szCs w:val="21"/>
                <w:highlight w:val="none"/>
              </w:rPr>
            </w:pPr>
            <w:r>
              <w:rPr>
                <w:rFonts w:eastAsia="方正楷体简体" w:cs="Times New Roman"/>
                <w:color w:val="auto"/>
                <w:szCs w:val="21"/>
                <w:highlight w:val="none"/>
              </w:rPr>
              <w:t>（1）南四湖区域航空和水上救援基地建设项目；</w:t>
            </w:r>
            <w:r>
              <w:rPr>
                <w:rFonts w:hint="eastAsia" w:eastAsia="方正楷体简体" w:cs="Times New Roman"/>
                <w:color w:val="auto"/>
                <w:szCs w:val="21"/>
                <w:highlight w:val="none"/>
              </w:rPr>
              <w:t>（2）全市乡镇（街道）基层应急救援站（消防队）“应消合一”建设项目。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9" w:type="dxa"/>
          </w:tcPr>
          <w:p>
            <w:pPr>
              <w:keepNext w:val="0"/>
              <w:keepLines w:val="0"/>
              <w:pageBreakBefore w:val="0"/>
              <w:widowControl w:val="0"/>
              <w:kinsoku/>
              <w:wordWrap/>
              <w:overflowPunct/>
              <w:topLinePunct w:val="0"/>
              <w:autoSpaceDE/>
              <w:autoSpaceDN/>
              <w:bidi w:val="0"/>
              <w:snapToGrid/>
              <w:spacing w:after="0" w:line="578" w:lineRule="exact"/>
              <w:ind w:firstLine="0" w:firstLineChars="0"/>
              <w:textAlignment w:val="auto"/>
              <w:rPr>
                <w:rFonts w:eastAsia="方正楷体简体" w:cs="Times New Roman"/>
                <w:color w:val="auto"/>
                <w:szCs w:val="21"/>
                <w:highlight w:val="none"/>
              </w:rPr>
            </w:pPr>
            <w:r>
              <w:rPr>
                <w:rFonts w:eastAsia="方正楷体简体" w:cs="Times New Roman"/>
                <w:color w:val="auto"/>
                <w:szCs w:val="21"/>
                <w:highlight w:val="none"/>
              </w:rPr>
              <w:t>7.</w:t>
            </w:r>
            <w:r>
              <w:rPr>
                <w:rFonts w:hint="eastAsia" w:eastAsia="方正楷体简体" w:cs="Times New Roman"/>
                <w:color w:val="auto"/>
                <w:szCs w:val="21"/>
                <w:highlight w:val="none"/>
              </w:rPr>
              <w:t>“</w:t>
            </w:r>
            <w:r>
              <w:rPr>
                <w:rFonts w:eastAsia="方正楷体简体" w:cs="Times New Roman"/>
                <w:color w:val="auto"/>
                <w:szCs w:val="21"/>
                <w:highlight w:val="none"/>
              </w:rPr>
              <w:t>本土专家</w:t>
            </w:r>
            <w:r>
              <w:rPr>
                <w:rFonts w:hint="eastAsia" w:eastAsia="方正楷体简体" w:cs="Times New Roman"/>
                <w:color w:val="auto"/>
                <w:szCs w:val="21"/>
                <w:highlight w:val="none"/>
              </w:rPr>
              <w:t>库”建设工程</w:t>
            </w:r>
          </w:p>
          <w:p>
            <w:pPr>
              <w:keepNext w:val="0"/>
              <w:keepLines w:val="0"/>
              <w:pageBreakBefore w:val="0"/>
              <w:widowControl w:val="0"/>
              <w:kinsoku/>
              <w:wordWrap/>
              <w:overflowPunct/>
              <w:topLinePunct w:val="0"/>
              <w:autoSpaceDE/>
              <w:autoSpaceDN/>
              <w:bidi w:val="0"/>
              <w:snapToGrid/>
              <w:spacing w:after="0" w:line="578" w:lineRule="exact"/>
              <w:ind w:firstLine="0" w:firstLineChars="0"/>
              <w:jc w:val="left"/>
              <w:textAlignment w:val="auto"/>
              <w:rPr>
                <w:rFonts w:eastAsia="方正仿宋简体" w:cs="Times New Roman"/>
                <w:color w:val="auto"/>
                <w:szCs w:val="28"/>
                <w:highlight w:val="none"/>
              </w:rPr>
            </w:pPr>
          </w:p>
        </w:tc>
        <w:tc>
          <w:tcPr>
            <w:tcW w:w="5471" w:type="dxa"/>
          </w:tcPr>
          <w:p>
            <w:pPr>
              <w:bidi w:val="0"/>
              <w:ind w:left="0" w:leftChars="0" w:firstLine="0" w:firstLineChars="0"/>
              <w:rPr>
                <w:rFonts w:eastAsia="方正楷体简体"/>
                <w:b w:val="0"/>
                <w:color w:val="auto"/>
                <w:szCs w:val="21"/>
                <w:highlight w:val="none"/>
              </w:rPr>
            </w:pPr>
            <w:r>
              <w:rPr>
                <w:rFonts w:hint="eastAsia" w:eastAsia="方正楷体简体" w:cs="Times New Roman"/>
                <w:color w:val="auto"/>
                <w:szCs w:val="21"/>
                <w:highlight w:val="none"/>
                <w:lang w:val="en-US" w:eastAsia="zh-CN"/>
              </w:rPr>
              <w:t>安全生产重点行业领域“</w:t>
            </w:r>
            <w:r>
              <w:rPr>
                <w:rFonts w:eastAsia="方正楷体简体" w:cs="Times New Roman"/>
                <w:color w:val="auto"/>
                <w:szCs w:val="21"/>
                <w:highlight w:val="none"/>
                <w:lang w:val="en-US" w:eastAsia="zh-CN"/>
              </w:rPr>
              <w:t>本土专家</w:t>
            </w:r>
            <w:r>
              <w:rPr>
                <w:rFonts w:hint="eastAsia" w:eastAsia="方正楷体简体" w:cs="Times New Roman"/>
                <w:color w:val="auto"/>
                <w:szCs w:val="21"/>
                <w:highlight w:val="none"/>
                <w:lang w:val="en-US" w:eastAsia="zh-CN"/>
              </w:rPr>
              <w:t>库”</w:t>
            </w:r>
            <w:r>
              <w:rPr>
                <w:rFonts w:eastAsia="方正楷体简体" w:cs="Times New Roman"/>
                <w:color w:val="auto"/>
                <w:szCs w:val="21"/>
                <w:highlight w:val="none"/>
                <w:lang w:val="en-US" w:eastAsia="zh-CN"/>
              </w:rPr>
              <w:t>建设</w:t>
            </w:r>
            <w:r>
              <w:rPr>
                <w:rFonts w:hint="eastAsia" w:eastAsia="方正楷体简体" w:cs="Times New Roman"/>
                <w:color w:val="auto"/>
                <w:szCs w:val="21"/>
                <w:highlight w:val="none"/>
                <w:lang w:val="en-US" w:eastAsia="zh-CN"/>
              </w:rPr>
              <w:t>项目</w:t>
            </w:r>
            <w:r>
              <w:rPr>
                <w:rFonts w:eastAsia="方正楷体简体" w:cs="Times New Roman"/>
                <w:color w:val="auto"/>
                <w:szCs w:val="21"/>
                <w:highlight w:val="none"/>
                <w:lang w:val="en-US" w:eastAsia="zh-CN"/>
              </w:rPr>
              <w:t>。</w:t>
            </w:r>
          </w:p>
        </w:tc>
      </w:tr>
    </w:tbl>
    <w:p>
      <w:pPr>
        <w:pStyle w:val="2"/>
        <w:keepNext w:val="0"/>
        <w:keepLines w:val="0"/>
        <w:pageBreakBefore w:val="0"/>
        <w:widowControl w:val="0"/>
        <w:numPr>
          <w:ilvl w:val="0"/>
          <w:numId w:val="1"/>
        </w:numPr>
        <w:kinsoku/>
        <w:wordWrap/>
        <w:overflowPunct/>
        <w:topLinePunct w:val="0"/>
        <w:autoSpaceDE/>
        <w:autoSpaceDN/>
        <w:bidi w:val="0"/>
        <w:snapToGrid/>
        <w:spacing w:before="0" w:after="0" w:line="578" w:lineRule="exact"/>
        <w:ind w:firstLine="2891" w:firstLineChars="900"/>
        <w:textAlignment w:val="auto"/>
        <w:rPr>
          <w:rFonts w:hint="eastAsia" w:ascii="方正黑体简体" w:hAnsi="方正黑体简体" w:eastAsia="方正黑体简体" w:cs="方正黑体简体"/>
          <w:b/>
          <w:bCs/>
          <w:color w:val="auto"/>
          <w:szCs w:val="32"/>
          <w:highlight w:val="none"/>
        </w:rPr>
      </w:pPr>
      <w:bookmarkStart w:id="135" w:name="_Toc16737"/>
      <w:r>
        <w:rPr>
          <w:rFonts w:hint="eastAsia" w:ascii="方正黑体简体" w:hAnsi="方正黑体简体" w:eastAsia="方正黑体简体" w:cs="方正黑体简体"/>
          <w:b/>
          <w:bCs/>
          <w:color w:val="auto"/>
          <w:szCs w:val="32"/>
          <w:highlight w:val="none"/>
        </w:rPr>
        <w:t>实施保障</w:t>
      </w:r>
      <w:bookmarkEnd w:id="124"/>
      <w:bookmarkEnd w:id="135"/>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6" w:name="_Toc18676"/>
      <w:bookmarkStart w:id="137" w:name="_Toc212236791"/>
      <w:r>
        <w:rPr>
          <w:rFonts w:hint="eastAsia" w:ascii="方正楷体简体" w:hAnsi="方正楷体简体" w:eastAsia="方正楷体简体" w:cs="方正楷体简体"/>
          <w:color w:val="auto"/>
          <w:sz w:val="32"/>
          <w:highlight w:val="none"/>
        </w:rPr>
        <w:t>（一）加强组织领导</w:t>
      </w:r>
      <w:bookmarkEnd w:id="136"/>
      <w:bookmarkEnd w:id="137"/>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各级各单位要将加强应急管理体系建设工作视为全面履行政府职能的重要任务，深度融入经济社会发展整体布局，与经济、政治、文化、社会及生态文明建设协同推进。充分激发各方积极性，创新工作思路，总结典型经验，积极探索推动应急管理体系建设的有效路径，全力推动规划落地实施。建立健全应急管理工作协调机制，支持、督促各有关单位依法履行监督管理职责，及时协调、解决规划实施过程中存在的重大问题。</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38" w:name="_Toc7756"/>
      <w:bookmarkStart w:id="139" w:name="_Toc212236792"/>
      <w:r>
        <w:rPr>
          <w:rFonts w:hint="eastAsia" w:ascii="方正楷体简体" w:hAnsi="方正楷体简体" w:eastAsia="方正楷体简体" w:cs="方正楷体简体"/>
          <w:color w:val="auto"/>
          <w:sz w:val="32"/>
          <w:highlight w:val="none"/>
        </w:rPr>
        <w:t>（二）健全实施机制</w:t>
      </w:r>
      <w:bookmarkEnd w:id="138"/>
      <w:bookmarkEnd w:id="139"/>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各级各单位要强化规划实施，制定规划实施方案，分解落实规划的主要任务与目标指标，明确牵头单位与工作责任，厘清单位职责边界，加强新产业、新业态、新领域安全监管，消除监管盲区。及时制定配套政策，明确工作时序与重点，细化实施进度及推进举措，加速重点项目落地，逐项推进目标任务落实。各级安全生产委员会及防灾减灾救灾领导小组要强化协调职能，实时跟踪本地区规划目标与任务进展，协同破解跨单位、跨行业的应急管理难题。</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40" w:name="_Toc212236793"/>
      <w:bookmarkStart w:id="141" w:name="_Toc16063"/>
      <w:r>
        <w:rPr>
          <w:rFonts w:hint="eastAsia" w:ascii="方正楷体简体" w:hAnsi="方正楷体简体" w:eastAsia="方正楷体简体" w:cs="方正楷体简体"/>
          <w:color w:val="auto"/>
          <w:sz w:val="32"/>
          <w:highlight w:val="none"/>
        </w:rPr>
        <w:t>（三）加强要素保障</w:t>
      </w:r>
      <w:bookmarkEnd w:id="140"/>
      <w:bookmarkEnd w:id="141"/>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进一步厘清各级人民政府及单位间的财政事权与支出责任，构建应急管理体系建设资金多元化筹集机制，加强重点项目绩效管控，充分释放财政资金使用效能。聚焦应急管理难题破解，谋划推进一批重大项目，纳入政府优先实施与财政重点保障范畴，制定项目资金、土地供给、审批流程等方面的支持政策，加速项目落地。完善“项目依规划推进、要素随项目配置”的投资保障机制，加大对重大项目的政策扶持与资源要素保障力度。</w:t>
      </w:r>
    </w:p>
    <w:p>
      <w:pPr>
        <w:pStyle w:val="3"/>
        <w:keepNext w:val="0"/>
        <w:keepLines w:val="0"/>
        <w:pageBreakBefore w:val="0"/>
        <w:widowControl w:val="0"/>
        <w:kinsoku/>
        <w:wordWrap/>
        <w:overflowPunct/>
        <w:topLinePunct w:val="0"/>
        <w:autoSpaceDE/>
        <w:autoSpaceDN/>
        <w:bidi w:val="0"/>
        <w:snapToGrid/>
        <w:spacing w:before="0" w:beforeLines="0" w:after="0" w:line="578" w:lineRule="exact"/>
        <w:ind w:firstLine="642" w:firstLineChars="200"/>
        <w:textAlignment w:val="auto"/>
        <w:rPr>
          <w:rFonts w:hint="eastAsia" w:ascii="方正楷体简体" w:hAnsi="方正楷体简体" w:eastAsia="方正楷体简体" w:cs="方正楷体简体"/>
          <w:color w:val="auto"/>
          <w:sz w:val="32"/>
          <w:highlight w:val="none"/>
        </w:rPr>
      </w:pPr>
      <w:bookmarkStart w:id="142" w:name="_Toc212236794"/>
      <w:bookmarkStart w:id="143" w:name="_Toc3554"/>
      <w:r>
        <w:rPr>
          <w:rFonts w:hint="eastAsia" w:ascii="方正楷体简体" w:hAnsi="方正楷体简体" w:eastAsia="方正楷体简体" w:cs="方正楷体简体"/>
          <w:color w:val="auto"/>
          <w:sz w:val="32"/>
          <w:highlight w:val="none"/>
        </w:rPr>
        <w:t>（四）强化监测评估</w:t>
      </w:r>
      <w:bookmarkEnd w:id="142"/>
      <w:bookmarkEnd w:id="143"/>
    </w:p>
    <w:p>
      <w:pPr>
        <w:pStyle w:val="13"/>
        <w:keepNext w:val="0"/>
        <w:keepLines w:val="0"/>
        <w:pageBreakBefore w:val="0"/>
        <w:widowControl w:val="0"/>
        <w:kinsoku/>
        <w:wordWrap/>
        <w:overflowPunct/>
        <w:topLinePunct w:val="0"/>
        <w:autoSpaceDE/>
        <w:autoSpaceDN/>
        <w:bidi w:val="0"/>
        <w:snapToGrid/>
        <w:spacing w:before="0" w:after="0" w:line="578" w:lineRule="exact"/>
        <w:ind w:firstLine="640"/>
        <w:textAlignment w:val="auto"/>
        <w:rPr>
          <w:rFonts w:eastAsia="方正仿宋简体"/>
          <w:color w:val="auto"/>
          <w:sz w:val="32"/>
          <w:szCs w:val="32"/>
          <w:highlight w:val="none"/>
        </w:rPr>
      </w:pPr>
      <w:r>
        <w:rPr>
          <w:rFonts w:hint="eastAsia" w:eastAsia="方正仿宋简体"/>
          <w:color w:val="auto"/>
          <w:sz w:val="32"/>
          <w:szCs w:val="32"/>
          <w:highlight w:val="none"/>
        </w:rPr>
        <w:t>对规划实施进度及重点项目推进情况实施动态监测，根据监测评估结果，及时总结经验教训，针对规划实施中存在的问题，提出针对性地调整优化措施。定期开展规划实施中期与末期评估，将评估结果纳入政府绩效考核体系。强化公众参与，完善规划实施的社会监督机制，鼓励社会公众踊跃参与规划实施评议，提升公众对规划的认知、认可与认同。</w:t>
      </w:r>
    </w:p>
    <w:sectPr>
      <w:footerReference r:id="rId11" w:type="default"/>
      <w:pgSz w:w="11910" w:h="16840"/>
      <w:pgMar w:top="1814" w:right="1588" w:bottom="1191" w:left="1588" w:header="720" w:footer="720" w:gutter="0"/>
      <w:pgNumType w:start="1"/>
      <w:cols w:space="425"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p>
    <w:pPr>
      <w:pStyle w:val="17"/>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2338899"/>
    </w:sdtPr>
    <w:sdtContent>
      <w:p>
        <w:pPr>
          <w:pStyle w:val="17"/>
          <w:ind w:firstLine="0" w:firstLineChars="0"/>
          <w:jc w:val="center"/>
        </w:pPr>
        <w:r>
          <w:fldChar w:fldCharType="begin"/>
        </w:r>
        <w:r>
          <w:instrText xml:space="preserve">PAGE   \* MERGEFORMAT</w:instrText>
        </w:r>
        <w:r>
          <w:fldChar w:fldCharType="separate"/>
        </w:r>
        <w:r>
          <w:rPr>
            <w:lang w:val="zh-CN"/>
          </w:rPr>
          <w:t>2</w:t>
        </w:r>
        <w:r>
          <w:fldChar w:fldCharType="end"/>
        </w:r>
      </w:p>
    </w:sdtContent>
  </w:sdt>
  <w:p>
    <w:pPr>
      <w:pStyle w:val="17"/>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DEDA"/>
    <w:multiLevelType w:val="singleLevel"/>
    <w:tmpl w:val="FDDFDEDA"/>
    <w:lvl w:ilvl="0" w:tentative="0">
      <w:start w:val="1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299"/>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yZmZlM2RiNzNkODYzMmRmMzE4MjFlOTcxMTVjYTIifQ=="/>
  </w:docVars>
  <w:rsids>
    <w:rsidRoot w:val="000A22D4"/>
    <w:rsid w:val="00001D18"/>
    <w:rsid w:val="00007B06"/>
    <w:rsid w:val="00014148"/>
    <w:rsid w:val="00014640"/>
    <w:rsid w:val="00020412"/>
    <w:rsid w:val="00020E2B"/>
    <w:rsid w:val="000307A2"/>
    <w:rsid w:val="00031C13"/>
    <w:rsid w:val="00035C09"/>
    <w:rsid w:val="00036C1B"/>
    <w:rsid w:val="00044122"/>
    <w:rsid w:val="000503A1"/>
    <w:rsid w:val="00053152"/>
    <w:rsid w:val="000534DC"/>
    <w:rsid w:val="00057929"/>
    <w:rsid w:val="00061C7B"/>
    <w:rsid w:val="00061FD2"/>
    <w:rsid w:val="0006381D"/>
    <w:rsid w:val="000679FB"/>
    <w:rsid w:val="00081126"/>
    <w:rsid w:val="000855E5"/>
    <w:rsid w:val="00085DC1"/>
    <w:rsid w:val="00087F08"/>
    <w:rsid w:val="0009047F"/>
    <w:rsid w:val="00090585"/>
    <w:rsid w:val="000926BA"/>
    <w:rsid w:val="00095EA5"/>
    <w:rsid w:val="000970DF"/>
    <w:rsid w:val="000A22D4"/>
    <w:rsid w:val="000A617D"/>
    <w:rsid w:val="000B27C8"/>
    <w:rsid w:val="000B6972"/>
    <w:rsid w:val="000D1448"/>
    <w:rsid w:val="000D352F"/>
    <w:rsid w:val="000D487A"/>
    <w:rsid w:val="000D5724"/>
    <w:rsid w:val="000D6075"/>
    <w:rsid w:val="000D706E"/>
    <w:rsid w:val="000E4E78"/>
    <w:rsid w:val="000F1349"/>
    <w:rsid w:val="000F32AD"/>
    <w:rsid w:val="000F4F1F"/>
    <w:rsid w:val="0010016F"/>
    <w:rsid w:val="00103F1A"/>
    <w:rsid w:val="00105336"/>
    <w:rsid w:val="00112639"/>
    <w:rsid w:val="00114871"/>
    <w:rsid w:val="0012077D"/>
    <w:rsid w:val="0013135F"/>
    <w:rsid w:val="00132293"/>
    <w:rsid w:val="00132B92"/>
    <w:rsid w:val="00137277"/>
    <w:rsid w:val="00137D9B"/>
    <w:rsid w:val="0014562B"/>
    <w:rsid w:val="001469D5"/>
    <w:rsid w:val="00151F0D"/>
    <w:rsid w:val="00156718"/>
    <w:rsid w:val="00160934"/>
    <w:rsid w:val="0016215D"/>
    <w:rsid w:val="00164508"/>
    <w:rsid w:val="00170D00"/>
    <w:rsid w:val="00170FC0"/>
    <w:rsid w:val="001740D0"/>
    <w:rsid w:val="0017462D"/>
    <w:rsid w:val="001759B9"/>
    <w:rsid w:val="001829AE"/>
    <w:rsid w:val="001876DF"/>
    <w:rsid w:val="00190D2F"/>
    <w:rsid w:val="00193500"/>
    <w:rsid w:val="00196004"/>
    <w:rsid w:val="00196417"/>
    <w:rsid w:val="001A6BD5"/>
    <w:rsid w:val="001C323F"/>
    <w:rsid w:val="001C6061"/>
    <w:rsid w:val="001C7D28"/>
    <w:rsid w:val="001D123C"/>
    <w:rsid w:val="001D3816"/>
    <w:rsid w:val="001E355B"/>
    <w:rsid w:val="001E376B"/>
    <w:rsid w:val="001E38F1"/>
    <w:rsid w:val="001E737B"/>
    <w:rsid w:val="001F0A2C"/>
    <w:rsid w:val="001F0D7D"/>
    <w:rsid w:val="001F6071"/>
    <w:rsid w:val="001F731C"/>
    <w:rsid w:val="001F79E5"/>
    <w:rsid w:val="00202589"/>
    <w:rsid w:val="00205D83"/>
    <w:rsid w:val="002114CF"/>
    <w:rsid w:val="00213D51"/>
    <w:rsid w:val="00214CB4"/>
    <w:rsid w:val="0022047C"/>
    <w:rsid w:val="00224435"/>
    <w:rsid w:val="00227F36"/>
    <w:rsid w:val="00234781"/>
    <w:rsid w:val="00234853"/>
    <w:rsid w:val="002379DB"/>
    <w:rsid w:val="002379EF"/>
    <w:rsid w:val="002404ED"/>
    <w:rsid w:val="00242654"/>
    <w:rsid w:val="00246B31"/>
    <w:rsid w:val="002475FA"/>
    <w:rsid w:val="002531AB"/>
    <w:rsid w:val="0025580A"/>
    <w:rsid w:val="0025659E"/>
    <w:rsid w:val="00265097"/>
    <w:rsid w:val="00265D04"/>
    <w:rsid w:val="00267064"/>
    <w:rsid w:val="00270400"/>
    <w:rsid w:val="00284827"/>
    <w:rsid w:val="0029206C"/>
    <w:rsid w:val="00294448"/>
    <w:rsid w:val="00294E43"/>
    <w:rsid w:val="002A008D"/>
    <w:rsid w:val="002A1396"/>
    <w:rsid w:val="002A2EF5"/>
    <w:rsid w:val="002B08E4"/>
    <w:rsid w:val="002B35A5"/>
    <w:rsid w:val="002B6C2F"/>
    <w:rsid w:val="002B7148"/>
    <w:rsid w:val="002B79F6"/>
    <w:rsid w:val="002C1F0C"/>
    <w:rsid w:val="002D4692"/>
    <w:rsid w:val="002D7C50"/>
    <w:rsid w:val="002F3A47"/>
    <w:rsid w:val="002F46A0"/>
    <w:rsid w:val="002F5856"/>
    <w:rsid w:val="002F6A51"/>
    <w:rsid w:val="002F7C6A"/>
    <w:rsid w:val="00304462"/>
    <w:rsid w:val="00305A94"/>
    <w:rsid w:val="00306781"/>
    <w:rsid w:val="00306ABF"/>
    <w:rsid w:val="00311B1F"/>
    <w:rsid w:val="003125B2"/>
    <w:rsid w:val="003176A3"/>
    <w:rsid w:val="003228ED"/>
    <w:rsid w:val="00324904"/>
    <w:rsid w:val="00342B2F"/>
    <w:rsid w:val="00342DA0"/>
    <w:rsid w:val="00342EB7"/>
    <w:rsid w:val="00344EC4"/>
    <w:rsid w:val="003479A5"/>
    <w:rsid w:val="00350073"/>
    <w:rsid w:val="0035116A"/>
    <w:rsid w:val="00355B67"/>
    <w:rsid w:val="00356A00"/>
    <w:rsid w:val="00357500"/>
    <w:rsid w:val="003620D6"/>
    <w:rsid w:val="00365873"/>
    <w:rsid w:val="00370281"/>
    <w:rsid w:val="00370479"/>
    <w:rsid w:val="00371573"/>
    <w:rsid w:val="00374B07"/>
    <w:rsid w:val="003755BB"/>
    <w:rsid w:val="00376CE1"/>
    <w:rsid w:val="00382482"/>
    <w:rsid w:val="003835DF"/>
    <w:rsid w:val="00387450"/>
    <w:rsid w:val="0039089C"/>
    <w:rsid w:val="00392126"/>
    <w:rsid w:val="00394347"/>
    <w:rsid w:val="003A19B3"/>
    <w:rsid w:val="003A39ED"/>
    <w:rsid w:val="003B3FB4"/>
    <w:rsid w:val="003C049A"/>
    <w:rsid w:val="003C1D4B"/>
    <w:rsid w:val="003C6555"/>
    <w:rsid w:val="003C7F0C"/>
    <w:rsid w:val="003D07E3"/>
    <w:rsid w:val="003D1778"/>
    <w:rsid w:val="003D72CE"/>
    <w:rsid w:val="003E2595"/>
    <w:rsid w:val="003E424B"/>
    <w:rsid w:val="003E615D"/>
    <w:rsid w:val="004008C6"/>
    <w:rsid w:val="00403524"/>
    <w:rsid w:val="00407521"/>
    <w:rsid w:val="00413815"/>
    <w:rsid w:val="004227F1"/>
    <w:rsid w:val="004235A6"/>
    <w:rsid w:val="0042391F"/>
    <w:rsid w:val="0042460E"/>
    <w:rsid w:val="00427DB5"/>
    <w:rsid w:val="00433D4F"/>
    <w:rsid w:val="00435283"/>
    <w:rsid w:val="00437C6A"/>
    <w:rsid w:val="0044156E"/>
    <w:rsid w:val="00444454"/>
    <w:rsid w:val="00444DD5"/>
    <w:rsid w:val="00447FAA"/>
    <w:rsid w:val="00455626"/>
    <w:rsid w:val="00456004"/>
    <w:rsid w:val="00464185"/>
    <w:rsid w:val="00473336"/>
    <w:rsid w:val="00474874"/>
    <w:rsid w:val="00475377"/>
    <w:rsid w:val="00487E6E"/>
    <w:rsid w:val="0049075A"/>
    <w:rsid w:val="00492379"/>
    <w:rsid w:val="00492D96"/>
    <w:rsid w:val="004962E4"/>
    <w:rsid w:val="004A0926"/>
    <w:rsid w:val="004A732C"/>
    <w:rsid w:val="004B53F4"/>
    <w:rsid w:val="004B5B2D"/>
    <w:rsid w:val="004B6AC9"/>
    <w:rsid w:val="004B7605"/>
    <w:rsid w:val="004C31AD"/>
    <w:rsid w:val="004C3CC2"/>
    <w:rsid w:val="004C6E9F"/>
    <w:rsid w:val="004C7860"/>
    <w:rsid w:val="004D57CD"/>
    <w:rsid w:val="004D6380"/>
    <w:rsid w:val="004F42D0"/>
    <w:rsid w:val="004F5FEC"/>
    <w:rsid w:val="0050645F"/>
    <w:rsid w:val="0051138B"/>
    <w:rsid w:val="00513618"/>
    <w:rsid w:val="00516A49"/>
    <w:rsid w:val="00522BE3"/>
    <w:rsid w:val="0052753A"/>
    <w:rsid w:val="005323B7"/>
    <w:rsid w:val="005407D9"/>
    <w:rsid w:val="0054162C"/>
    <w:rsid w:val="00542D6F"/>
    <w:rsid w:val="00543325"/>
    <w:rsid w:val="00544233"/>
    <w:rsid w:val="0054797E"/>
    <w:rsid w:val="00551377"/>
    <w:rsid w:val="00553276"/>
    <w:rsid w:val="0055432D"/>
    <w:rsid w:val="00554450"/>
    <w:rsid w:val="00561FC2"/>
    <w:rsid w:val="00563975"/>
    <w:rsid w:val="0056645E"/>
    <w:rsid w:val="005668E4"/>
    <w:rsid w:val="00566A1F"/>
    <w:rsid w:val="00570303"/>
    <w:rsid w:val="005703D1"/>
    <w:rsid w:val="00570FAB"/>
    <w:rsid w:val="005721DF"/>
    <w:rsid w:val="005767E1"/>
    <w:rsid w:val="00577E33"/>
    <w:rsid w:val="005804A7"/>
    <w:rsid w:val="00580C94"/>
    <w:rsid w:val="00581699"/>
    <w:rsid w:val="00581750"/>
    <w:rsid w:val="00585628"/>
    <w:rsid w:val="00585E01"/>
    <w:rsid w:val="00587C77"/>
    <w:rsid w:val="00587CB4"/>
    <w:rsid w:val="00590010"/>
    <w:rsid w:val="005902F1"/>
    <w:rsid w:val="0059077F"/>
    <w:rsid w:val="005A18A7"/>
    <w:rsid w:val="005A5207"/>
    <w:rsid w:val="005A728B"/>
    <w:rsid w:val="005B6872"/>
    <w:rsid w:val="005C0137"/>
    <w:rsid w:val="005C3708"/>
    <w:rsid w:val="005C639B"/>
    <w:rsid w:val="005D09C2"/>
    <w:rsid w:val="005D1A52"/>
    <w:rsid w:val="005D1CB2"/>
    <w:rsid w:val="005D1FF8"/>
    <w:rsid w:val="005D7B2A"/>
    <w:rsid w:val="005D7F91"/>
    <w:rsid w:val="005E137C"/>
    <w:rsid w:val="005E4AC5"/>
    <w:rsid w:val="005F21B4"/>
    <w:rsid w:val="005F4EEE"/>
    <w:rsid w:val="005F5809"/>
    <w:rsid w:val="005F649C"/>
    <w:rsid w:val="005F6822"/>
    <w:rsid w:val="00600287"/>
    <w:rsid w:val="0060725B"/>
    <w:rsid w:val="0062362E"/>
    <w:rsid w:val="00624C63"/>
    <w:rsid w:val="0063281F"/>
    <w:rsid w:val="00634928"/>
    <w:rsid w:val="00634CB5"/>
    <w:rsid w:val="00637357"/>
    <w:rsid w:val="006400FA"/>
    <w:rsid w:val="00641014"/>
    <w:rsid w:val="006421F0"/>
    <w:rsid w:val="00644A2C"/>
    <w:rsid w:val="0064578C"/>
    <w:rsid w:val="0065153A"/>
    <w:rsid w:val="00652BEB"/>
    <w:rsid w:val="006549A0"/>
    <w:rsid w:val="00656676"/>
    <w:rsid w:val="00661578"/>
    <w:rsid w:val="00661CFB"/>
    <w:rsid w:val="00662FDA"/>
    <w:rsid w:val="00663A2A"/>
    <w:rsid w:val="00663D8B"/>
    <w:rsid w:val="00670ECD"/>
    <w:rsid w:val="0067276B"/>
    <w:rsid w:val="00672CD5"/>
    <w:rsid w:val="00673C2E"/>
    <w:rsid w:val="00674EA2"/>
    <w:rsid w:val="0067726C"/>
    <w:rsid w:val="00683F91"/>
    <w:rsid w:val="00685B16"/>
    <w:rsid w:val="00696D49"/>
    <w:rsid w:val="006A021B"/>
    <w:rsid w:val="006A49DF"/>
    <w:rsid w:val="006A6658"/>
    <w:rsid w:val="006A78C3"/>
    <w:rsid w:val="006B1066"/>
    <w:rsid w:val="006B2697"/>
    <w:rsid w:val="006B2729"/>
    <w:rsid w:val="006C13C4"/>
    <w:rsid w:val="006C153A"/>
    <w:rsid w:val="006C44E5"/>
    <w:rsid w:val="006C5F2F"/>
    <w:rsid w:val="006D16CC"/>
    <w:rsid w:val="006D3508"/>
    <w:rsid w:val="006D511B"/>
    <w:rsid w:val="006E5FC3"/>
    <w:rsid w:val="006E6DC5"/>
    <w:rsid w:val="006E7EC5"/>
    <w:rsid w:val="006F15CF"/>
    <w:rsid w:val="006F4DA2"/>
    <w:rsid w:val="006F7A01"/>
    <w:rsid w:val="00702981"/>
    <w:rsid w:val="00706AD4"/>
    <w:rsid w:val="00720DD9"/>
    <w:rsid w:val="0072155C"/>
    <w:rsid w:val="00724A98"/>
    <w:rsid w:val="00724F64"/>
    <w:rsid w:val="0072703E"/>
    <w:rsid w:val="00732196"/>
    <w:rsid w:val="007441B7"/>
    <w:rsid w:val="00744EED"/>
    <w:rsid w:val="00745F5F"/>
    <w:rsid w:val="00746344"/>
    <w:rsid w:val="0075026A"/>
    <w:rsid w:val="00757160"/>
    <w:rsid w:val="00757CE3"/>
    <w:rsid w:val="00761F76"/>
    <w:rsid w:val="00762629"/>
    <w:rsid w:val="00765018"/>
    <w:rsid w:val="007665DB"/>
    <w:rsid w:val="00770711"/>
    <w:rsid w:val="00770E37"/>
    <w:rsid w:val="007712C7"/>
    <w:rsid w:val="0077768B"/>
    <w:rsid w:val="00780353"/>
    <w:rsid w:val="00780AE0"/>
    <w:rsid w:val="00783506"/>
    <w:rsid w:val="00784ADC"/>
    <w:rsid w:val="00785D1C"/>
    <w:rsid w:val="007929E7"/>
    <w:rsid w:val="00793B92"/>
    <w:rsid w:val="007952F9"/>
    <w:rsid w:val="007A302A"/>
    <w:rsid w:val="007A35DC"/>
    <w:rsid w:val="007A4F63"/>
    <w:rsid w:val="007A5B02"/>
    <w:rsid w:val="007A6255"/>
    <w:rsid w:val="007B332A"/>
    <w:rsid w:val="007B61CB"/>
    <w:rsid w:val="007C1232"/>
    <w:rsid w:val="007C4284"/>
    <w:rsid w:val="007C5045"/>
    <w:rsid w:val="007D456B"/>
    <w:rsid w:val="007D6877"/>
    <w:rsid w:val="007E02C9"/>
    <w:rsid w:val="007E0920"/>
    <w:rsid w:val="007E4857"/>
    <w:rsid w:val="007F4366"/>
    <w:rsid w:val="007F43CD"/>
    <w:rsid w:val="007F493C"/>
    <w:rsid w:val="007F5032"/>
    <w:rsid w:val="007F6360"/>
    <w:rsid w:val="00800910"/>
    <w:rsid w:val="008020AE"/>
    <w:rsid w:val="0081062A"/>
    <w:rsid w:val="0081698C"/>
    <w:rsid w:val="0082286F"/>
    <w:rsid w:val="00824170"/>
    <w:rsid w:val="0082606D"/>
    <w:rsid w:val="008316EF"/>
    <w:rsid w:val="008335E3"/>
    <w:rsid w:val="0083394D"/>
    <w:rsid w:val="00836F9E"/>
    <w:rsid w:val="00841729"/>
    <w:rsid w:val="00841916"/>
    <w:rsid w:val="00842645"/>
    <w:rsid w:val="00850469"/>
    <w:rsid w:val="0085277E"/>
    <w:rsid w:val="008604E2"/>
    <w:rsid w:val="00866883"/>
    <w:rsid w:val="0086758F"/>
    <w:rsid w:val="00867822"/>
    <w:rsid w:val="00870EEC"/>
    <w:rsid w:val="00873053"/>
    <w:rsid w:val="00877D33"/>
    <w:rsid w:val="00881388"/>
    <w:rsid w:val="00886EB9"/>
    <w:rsid w:val="00887B5E"/>
    <w:rsid w:val="00896B95"/>
    <w:rsid w:val="008A01D0"/>
    <w:rsid w:val="008A3D7D"/>
    <w:rsid w:val="008A583D"/>
    <w:rsid w:val="008B1B07"/>
    <w:rsid w:val="008B47D2"/>
    <w:rsid w:val="008B4E3A"/>
    <w:rsid w:val="008B545B"/>
    <w:rsid w:val="008C1392"/>
    <w:rsid w:val="008C1C8D"/>
    <w:rsid w:val="008C266F"/>
    <w:rsid w:val="008C381E"/>
    <w:rsid w:val="008C71E6"/>
    <w:rsid w:val="008D1A13"/>
    <w:rsid w:val="008D524C"/>
    <w:rsid w:val="008D593F"/>
    <w:rsid w:val="008E47A4"/>
    <w:rsid w:val="008F0084"/>
    <w:rsid w:val="0090190D"/>
    <w:rsid w:val="0090257B"/>
    <w:rsid w:val="00902FA7"/>
    <w:rsid w:val="0090469C"/>
    <w:rsid w:val="00905DEB"/>
    <w:rsid w:val="00906ACE"/>
    <w:rsid w:val="00911D9D"/>
    <w:rsid w:val="00921323"/>
    <w:rsid w:val="00923B01"/>
    <w:rsid w:val="00926A45"/>
    <w:rsid w:val="009319FC"/>
    <w:rsid w:val="00931A3F"/>
    <w:rsid w:val="00932FE0"/>
    <w:rsid w:val="00934230"/>
    <w:rsid w:val="009357EF"/>
    <w:rsid w:val="00941031"/>
    <w:rsid w:val="00944CF3"/>
    <w:rsid w:val="00954153"/>
    <w:rsid w:val="0095480C"/>
    <w:rsid w:val="009600CC"/>
    <w:rsid w:val="00960BDA"/>
    <w:rsid w:val="00962C2A"/>
    <w:rsid w:val="00973D3A"/>
    <w:rsid w:val="00974AEE"/>
    <w:rsid w:val="00983CD9"/>
    <w:rsid w:val="00990C91"/>
    <w:rsid w:val="009976C0"/>
    <w:rsid w:val="00997EC5"/>
    <w:rsid w:val="009A573E"/>
    <w:rsid w:val="009B0F21"/>
    <w:rsid w:val="009B5631"/>
    <w:rsid w:val="009B5786"/>
    <w:rsid w:val="009C0747"/>
    <w:rsid w:val="009C6192"/>
    <w:rsid w:val="009E0345"/>
    <w:rsid w:val="009E0BD7"/>
    <w:rsid w:val="009E0C24"/>
    <w:rsid w:val="009F13AA"/>
    <w:rsid w:val="00A00346"/>
    <w:rsid w:val="00A02E93"/>
    <w:rsid w:val="00A10956"/>
    <w:rsid w:val="00A12060"/>
    <w:rsid w:val="00A12581"/>
    <w:rsid w:val="00A13ACF"/>
    <w:rsid w:val="00A20B18"/>
    <w:rsid w:val="00A25465"/>
    <w:rsid w:val="00A2671E"/>
    <w:rsid w:val="00A26FF8"/>
    <w:rsid w:val="00A275FD"/>
    <w:rsid w:val="00A301E1"/>
    <w:rsid w:val="00A30CE3"/>
    <w:rsid w:val="00A327FC"/>
    <w:rsid w:val="00A33DFD"/>
    <w:rsid w:val="00A363C3"/>
    <w:rsid w:val="00A45C89"/>
    <w:rsid w:val="00A5219F"/>
    <w:rsid w:val="00A5448E"/>
    <w:rsid w:val="00A54814"/>
    <w:rsid w:val="00A644E0"/>
    <w:rsid w:val="00A64578"/>
    <w:rsid w:val="00A657B6"/>
    <w:rsid w:val="00A717C0"/>
    <w:rsid w:val="00A71B4E"/>
    <w:rsid w:val="00A73231"/>
    <w:rsid w:val="00A81989"/>
    <w:rsid w:val="00A83486"/>
    <w:rsid w:val="00A837FA"/>
    <w:rsid w:val="00A90502"/>
    <w:rsid w:val="00A90952"/>
    <w:rsid w:val="00A92636"/>
    <w:rsid w:val="00A94AE2"/>
    <w:rsid w:val="00A968D3"/>
    <w:rsid w:val="00A96FCE"/>
    <w:rsid w:val="00AA0185"/>
    <w:rsid w:val="00AA26CE"/>
    <w:rsid w:val="00AA6A06"/>
    <w:rsid w:val="00AA7C76"/>
    <w:rsid w:val="00AB51CB"/>
    <w:rsid w:val="00AB6DAE"/>
    <w:rsid w:val="00AD3323"/>
    <w:rsid w:val="00AD3552"/>
    <w:rsid w:val="00AE0032"/>
    <w:rsid w:val="00AE2E08"/>
    <w:rsid w:val="00AE5248"/>
    <w:rsid w:val="00AE6C00"/>
    <w:rsid w:val="00AF053D"/>
    <w:rsid w:val="00AF2CCD"/>
    <w:rsid w:val="00AF6F3C"/>
    <w:rsid w:val="00B00253"/>
    <w:rsid w:val="00B012E9"/>
    <w:rsid w:val="00B060C4"/>
    <w:rsid w:val="00B12E8C"/>
    <w:rsid w:val="00B17559"/>
    <w:rsid w:val="00B301FF"/>
    <w:rsid w:val="00B33E1C"/>
    <w:rsid w:val="00B35CE5"/>
    <w:rsid w:val="00B414FB"/>
    <w:rsid w:val="00B435FC"/>
    <w:rsid w:val="00B45E4C"/>
    <w:rsid w:val="00B5041E"/>
    <w:rsid w:val="00B51FDA"/>
    <w:rsid w:val="00B523E5"/>
    <w:rsid w:val="00B53D8D"/>
    <w:rsid w:val="00B5603D"/>
    <w:rsid w:val="00B562BA"/>
    <w:rsid w:val="00B56E35"/>
    <w:rsid w:val="00B70C9B"/>
    <w:rsid w:val="00B74D0D"/>
    <w:rsid w:val="00B7524E"/>
    <w:rsid w:val="00B7591F"/>
    <w:rsid w:val="00B8176A"/>
    <w:rsid w:val="00B84B86"/>
    <w:rsid w:val="00B91385"/>
    <w:rsid w:val="00BA44A3"/>
    <w:rsid w:val="00BA5018"/>
    <w:rsid w:val="00BA5893"/>
    <w:rsid w:val="00BA5A97"/>
    <w:rsid w:val="00BB2B64"/>
    <w:rsid w:val="00BB3545"/>
    <w:rsid w:val="00BB3AA7"/>
    <w:rsid w:val="00BB4D84"/>
    <w:rsid w:val="00BB5EC7"/>
    <w:rsid w:val="00BB69D8"/>
    <w:rsid w:val="00BB7244"/>
    <w:rsid w:val="00BC0974"/>
    <w:rsid w:val="00BC17D8"/>
    <w:rsid w:val="00BC31B9"/>
    <w:rsid w:val="00BD0B0C"/>
    <w:rsid w:val="00BD4D83"/>
    <w:rsid w:val="00BE01C6"/>
    <w:rsid w:val="00BE05EC"/>
    <w:rsid w:val="00BE44C7"/>
    <w:rsid w:val="00BE6B96"/>
    <w:rsid w:val="00BE6F66"/>
    <w:rsid w:val="00BF0F70"/>
    <w:rsid w:val="00C01341"/>
    <w:rsid w:val="00C01CF2"/>
    <w:rsid w:val="00C11D44"/>
    <w:rsid w:val="00C12629"/>
    <w:rsid w:val="00C12F8B"/>
    <w:rsid w:val="00C15AE6"/>
    <w:rsid w:val="00C15B62"/>
    <w:rsid w:val="00C17A0A"/>
    <w:rsid w:val="00C22C3C"/>
    <w:rsid w:val="00C271DB"/>
    <w:rsid w:val="00C350EE"/>
    <w:rsid w:val="00C37968"/>
    <w:rsid w:val="00C37C21"/>
    <w:rsid w:val="00C419C3"/>
    <w:rsid w:val="00C43D8B"/>
    <w:rsid w:val="00C45AFB"/>
    <w:rsid w:val="00C53FED"/>
    <w:rsid w:val="00C56D98"/>
    <w:rsid w:val="00C63BF5"/>
    <w:rsid w:val="00C63D53"/>
    <w:rsid w:val="00C662B2"/>
    <w:rsid w:val="00C67C5B"/>
    <w:rsid w:val="00C70903"/>
    <w:rsid w:val="00C7148F"/>
    <w:rsid w:val="00C7466E"/>
    <w:rsid w:val="00C76522"/>
    <w:rsid w:val="00C777BE"/>
    <w:rsid w:val="00C81DA3"/>
    <w:rsid w:val="00C856C9"/>
    <w:rsid w:val="00C9056B"/>
    <w:rsid w:val="00C918B7"/>
    <w:rsid w:val="00C9282C"/>
    <w:rsid w:val="00C92A03"/>
    <w:rsid w:val="00C96422"/>
    <w:rsid w:val="00C97580"/>
    <w:rsid w:val="00CA33DF"/>
    <w:rsid w:val="00CB0157"/>
    <w:rsid w:val="00CB0B9B"/>
    <w:rsid w:val="00CB1390"/>
    <w:rsid w:val="00CB4E62"/>
    <w:rsid w:val="00CB5735"/>
    <w:rsid w:val="00CC1313"/>
    <w:rsid w:val="00CC258B"/>
    <w:rsid w:val="00CC4142"/>
    <w:rsid w:val="00CC51BA"/>
    <w:rsid w:val="00CC7AF0"/>
    <w:rsid w:val="00CD40A1"/>
    <w:rsid w:val="00CD5DED"/>
    <w:rsid w:val="00CD7C9C"/>
    <w:rsid w:val="00CE096E"/>
    <w:rsid w:val="00CE300D"/>
    <w:rsid w:val="00CE40F4"/>
    <w:rsid w:val="00CE4D2B"/>
    <w:rsid w:val="00CE6989"/>
    <w:rsid w:val="00CE74EE"/>
    <w:rsid w:val="00CF0730"/>
    <w:rsid w:val="00CF1B80"/>
    <w:rsid w:val="00CF1FA8"/>
    <w:rsid w:val="00CF22B8"/>
    <w:rsid w:val="00D00226"/>
    <w:rsid w:val="00D03124"/>
    <w:rsid w:val="00D07EC0"/>
    <w:rsid w:val="00D118C9"/>
    <w:rsid w:val="00D245DF"/>
    <w:rsid w:val="00D26925"/>
    <w:rsid w:val="00D274B9"/>
    <w:rsid w:val="00D33587"/>
    <w:rsid w:val="00D34101"/>
    <w:rsid w:val="00D35C09"/>
    <w:rsid w:val="00D53622"/>
    <w:rsid w:val="00D55DC1"/>
    <w:rsid w:val="00D600B9"/>
    <w:rsid w:val="00D618F4"/>
    <w:rsid w:val="00D64762"/>
    <w:rsid w:val="00D7036C"/>
    <w:rsid w:val="00D7057C"/>
    <w:rsid w:val="00D754D9"/>
    <w:rsid w:val="00D762C4"/>
    <w:rsid w:val="00D80022"/>
    <w:rsid w:val="00D82381"/>
    <w:rsid w:val="00D82933"/>
    <w:rsid w:val="00D83132"/>
    <w:rsid w:val="00D839FF"/>
    <w:rsid w:val="00D844EF"/>
    <w:rsid w:val="00D84E21"/>
    <w:rsid w:val="00D854B7"/>
    <w:rsid w:val="00D87E15"/>
    <w:rsid w:val="00D939C5"/>
    <w:rsid w:val="00DA0210"/>
    <w:rsid w:val="00DA30F3"/>
    <w:rsid w:val="00DA6B30"/>
    <w:rsid w:val="00DB04E2"/>
    <w:rsid w:val="00DB4391"/>
    <w:rsid w:val="00DB5F3F"/>
    <w:rsid w:val="00DB6943"/>
    <w:rsid w:val="00DB728C"/>
    <w:rsid w:val="00DC0664"/>
    <w:rsid w:val="00DC0BD6"/>
    <w:rsid w:val="00DC32FE"/>
    <w:rsid w:val="00DC3316"/>
    <w:rsid w:val="00DC44B8"/>
    <w:rsid w:val="00DC5C3A"/>
    <w:rsid w:val="00DD4508"/>
    <w:rsid w:val="00DD5460"/>
    <w:rsid w:val="00DD5A84"/>
    <w:rsid w:val="00DE25FF"/>
    <w:rsid w:val="00DE3635"/>
    <w:rsid w:val="00DE7B40"/>
    <w:rsid w:val="00DF31EC"/>
    <w:rsid w:val="00DF4792"/>
    <w:rsid w:val="00DF5C34"/>
    <w:rsid w:val="00DF6FDE"/>
    <w:rsid w:val="00E04B9E"/>
    <w:rsid w:val="00E04E33"/>
    <w:rsid w:val="00E05354"/>
    <w:rsid w:val="00E05B8E"/>
    <w:rsid w:val="00E1084C"/>
    <w:rsid w:val="00E12900"/>
    <w:rsid w:val="00E12F67"/>
    <w:rsid w:val="00E16124"/>
    <w:rsid w:val="00E17A22"/>
    <w:rsid w:val="00E2109B"/>
    <w:rsid w:val="00E23D01"/>
    <w:rsid w:val="00E23D1F"/>
    <w:rsid w:val="00E27588"/>
    <w:rsid w:val="00E319F4"/>
    <w:rsid w:val="00E35C08"/>
    <w:rsid w:val="00E425A4"/>
    <w:rsid w:val="00E43E96"/>
    <w:rsid w:val="00E44FBF"/>
    <w:rsid w:val="00E454A4"/>
    <w:rsid w:val="00E45FC7"/>
    <w:rsid w:val="00E55079"/>
    <w:rsid w:val="00E57E7B"/>
    <w:rsid w:val="00E60111"/>
    <w:rsid w:val="00E60AD1"/>
    <w:rsid w:val="00E60E4E"/>
    <w:rsid w:val="00E6527F"/>
    <w:rsid w:val="00E65397"/>
    <w:rsid w:val="00E727FF"/>
    <w:rsid w:val="00E72A60"/>
    <w:rsid w:val="00E74C73"/>
    <w:rsid w:val="00E76141"/>
    <w:rsid w:val="00E82917"/>
    <w:rsid w:val="00E82B29"/>
    <w:rsid w:val="00E84200"/>
    <w:rsid w:val="00E856AB"/>
    <w:rsid w:val="00E92CE0"/>
    <w:rsid w:val="00E933AB"/>
    <w:rsid w:val="00E96D3E"/>
    <w:rsid w:val="00EA058C"/>
    <w:rsid w:val="00EA36A9"/>
    <w:rsid w:val="00EA6215"/>
    <w:rsid w:val="00EB31E5"/>
    <w:rsid w:val="00EB5EE6"/>
    <w:rsid w:val="00EC6B92"/>
    <w:rsid w:val="00ED0CDE"/>
    <w:rsid w:val="00ED216F"/>
    <w:rsid w:val="00ED2AFD"/>
    <w:rsid w:val="00ED79BB"/>
    <w:rsid w:val="00EE108D"/>
    <w:rsid w:val="00EE5B6C"/>
    <w:rsid w:val="00EF141E"/>
    <w:rsid w:val="00EF286A"/>
    <w:rsid w:val="00EF2C01"/>
    <w:rsid w:val="00EF3E1B"/>
    <w:rsid w:val="00EF5EEA"/>
    <w:rsid w:val="00EF6C03"/>
    <w:rsid w:val="00EF7DD0"/>
    <w:rsid w:val="00F019C2"/>
    <w:rsid w:val="00F02456"/>
    <w:rsid w:val="00F07234"/>
    <w:rsid w:val="00F14455"/>
    <w:rsid w:val="00F15E2B"/>
    <w:rsid w:val="00F16019"/>
    <w:rsid w:val="00F16293"/>
    <w:rsid w:val="00F200A8"/>
    <w:rsid w:val="00F218D9"/>
    <w:rsid w:val="00F250BB"/>
    <w:rsid w:val="00F26E12"/>
    <w:rsid w:val="00F274EC"/>
    <w:rsid w:val="00F31760"/>
    <w:rsid w:val="00F32516"/>
    <w:rsid w:val="00F34F23"/>
    <w:rsid w:val="00F36F55"/>
    <w:rsid w:val="00F37EBA"/>
    <w:rsid w:val="00F45747"/>
    <w:rsid w:val="00F51196"/>
    <w:rsid w:val="00F513B5"/>
    <w:rsid w:val="00F53359"/>
    <w:rsid w:val="00F54BE1"/>
    <w:rsid w:val="00F55EB6"/>
    <w:rsid w:val="00F579FC"/>
    <w:rsid w:val="00F6111B"/>
    <w:rsid w:val="00F6307A"/>
    <w:rsid w:val="00F6481A"/>
    <w:rsid w:val="00F66ED8"/>
    <w:rsid w:val="00F73C19"/>
    <w:rsid w:val="00F8130F"/>
    <w:rsid w:val="00F8241A"/>
    <w:rsid w:val="00F86535"/>
    <w:rsid w:val="00F87D53"/>
    <w:rsid w:val="00F9515D"/>
    <w:rsid w:val="00FA66B5"/>
    <w:rsid w:val="00FC05F9"/>
    <w:rsid w:val="00FC4E59"/>
    <w:rsid w:val="00FD0573"/>
    <w:rsid w:val="00FD7389"/>
    <w:rsid w:val="00FE1128"/>
    <w:rsid w:val="00FE185A"/>
    <w:rsid w:val="00FE270E"/>
    <w:rsid w:val="00FE4D08"/>
    <w:rsid w:val="00FF3295"/>
    <w:rsid w:val="00FF5517"/>
    <w:rsid w:val="00FF7D0E"/>
    <w:rsid w:val="015F36B4"/>
    <w:rsid w:val="019F1377"/>
    <w:rsid w:val="02F474A0"/>
    <w:rsid w:val="03B94246"/>
    <w:rsid w:val="04162771"/>
    <w:rsid w:val="043D41E5"/>
    <w:rsid w:val="059006FB"/>
    <w:rsid w:val="05E150DE"/>
    <w:rsid w:val="05EE3AD8"/>
    <w:rsid w:val="06425C22"/>
    <w:rsid w:val="076568DE"/>
    <w:rsid w:val="08935065"/>
    <w:rsid w:val="08AF5C17"/>
    <w:rsid w:val="08D8516E"/>
    <w:rsid w:val="08F54616"/>
    <w:rsid w:val="0937357F"/>
    <w:rsid w:val="09CE4797"/>
    <w:rsid w:val="0A326B00"/>
    <w:rsid w:val="0AD82E05"/>
    <w:rsid w:val="0B185CF6"/>
    <w:rsid w:val="0B4B7E79"/>
    <w:rsid w:val="0CAD3362"/>
    <w:rsid w:val="0D0B7A15"/>
    <w:rsid w:val="0E0B7D94"/>
    <w:rsid w:val="0E7711A9"/>
    <w:rsid w:val="0EEB1D0A"/>
    <w:rsid w:val="102869DB"/>
    <w:rsid w:val="10993435"/>
    <w:rsid w:val="121B5090"/>
    <w:rsid w:val="13C57D82"/>
    <w:rsid w:val="13EA0B3B"/>
    <w:rsid w:val="13FE7CD2"/>
    <w:rsid w:val="148D32B1"/>
    <w:rsid w:val="14F7184E"/>
    <w:rsid w:val="16384D57"/>
    <w:rsid w:val="17261512"/>
    <w:rsid w:val="17A56B63"/>
    <w:rsid w:val="17AC1CA0"/>
    <w:rsid w:val="17E83A36"/>
    <w:rsid w:val="18493E23"/>
    <w:rsid w:val="193261D5"/>
    <w:rsid w:val="19D13C3F"/>
    <w:rsid w:val="19F45B80"/>
    <w:rsid w:val="1A122A46"/>
    <w:rsid w:val="1A5328A6"/>
    <w:rsid w:val="1ABD41C4"/>
    <w:rsid w:val="1AD4162A"/>
    <w:rsid w:val="1B3D848A"/>
    <w:rsid w:val="1B416BA3"/>
    <w:rsid w:val="1C0B4762"/>
    <w:rsid w:val="1E761259"/>
    <w:rsid w:val="1EAC4C7B"/>
    <w:rsid w:val="1F9E30E1"/>
    <w:rsid w:val="1FA83694"/>
    <w:rsid w:val="1FBB9D0D"/>
    <w:rsid w:val="20796DDF"/>
    <w:rsid w:val="20B7775D"/>
    <w:rsid w:val="21504AE3"/>
    <w:rsid w:val="21717AB6"/>
    <w:rsid w:val="21811238"/>
    <w:rsid w:val="21F52495"/>
    <w:rsid w:val="22054E33"/>
    <w:rsid w:val="22EA5BCE"/>
    <w:rsid w:val="23403BE4"/>
    <w:rsid w:val="23D83E1C"/>
    <w:rsid w:val="240F5A90"/>
    <w:rsid w:val="2457678B"/>
    <w:rsid w:val="245F0761"/>
    <w:rsid w:val="25EF7AC1"/>
    <w:rsid w:val="26413EFB"/>
    <w:rsid w:val="26486CDF"/>
    <w:rsid w:val="26647BE9"/>
    <w:rsid w:val="26BE5D4D"/>
    <w:rsid w:val="26F96584"/>
    <w:rsid w:val="276E2ACE"/>
    <w:rsid w:val="28BC3D0D"/>
    <w:rsid w:val="29A94291"/>
    <w:rsid w:val="2A111E36"/>
    <w:rsid w:val="2A425B65"/>
    <w:rsid w:val="2A4E5215"/>
    <w:rsid w:val="2A6E7289"/>
    <w:rsid w:val="2A6F5AEE"/>
    <w:rsid w:val="2B035C23"/>
    <w:rsid w:val="2BA54F2C"/>
    <w:rsid w:val="2BE952B4"/>
    <w:rsid w:val="2C362D97"/>
    <w:rsid w:val="2C5D1363"/>
    <w:rsid w:val="2CD94E8D"/>
    <w:rsid w:val="2DC752E4"/>
    <w:rsid w:val="2DD9710F"/>
    <w:rsid w:val="2E312AA7"/>
    <w:rsid w:val="2E8B738A"/>
    <w:rsid w:val="2E982B26"/>
    <w:rsid w:val="2FDB1CAE"/>
    <w:rsid w:val="302F0505"/>
    <w:rsid w:val="3077775D"/>
    <w:rsid w:val="30E65DCB"/>
    <w:rsid w:val="3121249A"/>
    <w:rsid w:val="319A78E3"/>
    <w:rsid w:val="34384094"/>
    <w:rsid w:val="34AC732B"/>
    <w:rsid w:val="34C65624"/>
    <w:rsid w:val="35FEFBE7"/>
    <w:rsid w:val="369D56F3"/>
    <w:rsid w:val="373D97F7"/>
    <w:rsid w:val="37C93D50"/>
    <w:rsid w:val="38355795"/>
    <w:rsid w:val="38FB4B2B"/>
    <w:rsid w:val="39AB7BB1"/>
    <w:rsid w:val="3A2B0CF2"/>
    <w:rsid w:val="3B0A4DAB"/>
    <w:rsid w:val="3B1D75A4"/>
    <w:rsid w:val="3B3A743F"/>
    <w:rsid w:val="3CD87EF9"/>
    <w:rsid w:val="3D5B369C"/>
    <w:rsid w:val="3D6595E6"/>
    <w:rsid w:val="3D8F3346"/>
    <w:rsid w:val="3E4B3711"/>
    <w:rsid w:val="3F836EDA"/>
    <w:rsid w:val="3FDDC9EB"/>
    <w:rsid w:val="3FE564E3"/>
    <w:rsid w:val="3FE5F672"/>
    <w:rsid w:val="3FFF8564"/>
    <w:rsid w:val="402D3010"/>
    <w:rsid w:val="40DF4BEE"/>
    <w:rsid w:val="411155FB"/>
    <w:rsid w:val="412B2A68"/>
    <w:rsid w:val="415F7568"/>
    <w:rsid w:val="41A25D3E"/>
    <w:rsid w:val="41BF676C"/>
    <w:rsid w:val="41CF6407"/>
    <w:rsid w:val="41E06866"/>
    <w:rsid w:val="438356FB"/>
    <w:rsid w:val="43867962"/>
    <w:rsid w:val="44114AB5"/>
    <w:rsid w:val="44CD23E9"/>
    <w:rsid w:val="46432588"/>
    <w:rsid w:val="474E464D"/>
    <w:rsid w:val="47E80223"/>
    <w:rsid w:val="47FE0DF2"/>
    <w:rsid w:val="49D104C5"/>
    <w:rsid w:val="4A58168F"/>
    <w:rsid w:val="4A941E17"/>
    <w:rsid w:val="4ABB577A"/>
    <w:rsid w:val="4AE36E8E"/>
    <w:rsid w:val="4B2D0EAD"/>
    <w:rsid w:val="4B77B7BC"/>
    <w:rsid w:val="4B77FE34"/>
    <w:rsid w:val="4BAB1C93"/>
    <w:rsid w:val="4BDD2230"/>
    <w:rsid w:val="4BF6CC03"/>
    <w:rsid w:val="4C740711"/>
    <w:rsid w:val="4EBE7F2F"/>
    <w:rsid w:val="4EC07AF5"/>
    <w:rsid w:val="4EEE25C2"/>
    <w:rsid w:val="4F215084"/>
    <w:rsid w:val="4FD170E7"/>
    <w:rsid w:val="51167BAE"/>
    <w:rsid w:val="512A5408"/>
    <w:rsid w:val="51FED7AB"/>
    <w:rsid w:val="522A220F"/>
    <w:rsid w:val="524E5A49"/>
    <w:rsid w:val="52900EEF"/>
    <w:rsid w:val="5358111E"/>
    <w:rsid w:val="535E583D"/>
    <w:rsid w:val="53894668"/>
    <w:rsid w:val="53A803CC"/>
    <w:rsid w:val="53DF072C"/>
    <w:rsid w:val="549332C4"/>
    <w:rsid w:val="550C37A2"/>
    <w:rsid w:val="56E141AD"/>
    <w:rsid w:val="571526B6"/>
    <w:rsid w:val="57C00874"/>
    <w:rsid w:val="57E904AC"/>
    <w:rsid w:val="5906147C"/>
    <w:rsid w:val="5928171A"/>
    <w:rsid w:val="599C2C1B"/>
    <w:rsid w:val="59FFA2AD"/>
    <w:rsid w:val="5A0233C6"/>
    <w:rsid w:val="5A233A74"/>
    <w:rsid w:val="5AEFC5D6"/>
    <w:rsid w:val="5B6471FA"/>
    <w:rsid w:val="5B9751F2"/>
    <w:rsid w:val="5B9B13DC"/>
    <w:rsid w:val="5BD462C2"/>
    <w:rsid w:val="5BEC64CF"/>
    <w:rsid w:val="5BF79FCB"/>
    <w:rsid w:val="5C513018"/>
    <w:rsid w:val="5D327B1E"/>
    <w:rsid w:val="5DB55B1B"/>
    <w:rsid w:val="5DE51817"/>
    <w:rsid w:val="5E1B6804"/>
    <w:rsid w:val="5EFA7CCD"/>
    <w:rsid w:val="5F976740"/>
    <w:rsid w:val="5FB57E1D"/>
    <w:rsid w:val="5FFBBD33"/>
    <w:rsid w:val="5FFF038C"/>
    <w:rsid w:val="600B1CE2"/>
    <w:rsid w:val="60AF732E"/>
    <w:rsid w:val="60D61108"/>
    <w:rsid w:val="62346AD0"/>
    <w:rsid w:val="63CAD69B"/>
    <w:rsid w:val="63DA4A6C"/>
    <w:rsid w:val="63F4F5BB"/>
    <w:rsid w:val="643E149E"/>
    <w:rsid w:val="64E50514"/>
    <w:rsid w:val="65CB0B10"/>
    <w:rsid w:val="661A3845"/>
    <w:rsid w:val="68395202"/>
    <w:rsid w:val="691E364C"/>
    <w:rsid w:val="69374799"/>
    <w:rsid w:val="69AA5856"/>
    <w:rsid w:val="6A1457F8"/>
    <w:rsid w:val="6A90501F"/>
    <w:rsid w:val="6ADD7A66"/>
    <w:rsid w:val="6C2F048C"/>
    <w:rsid w:val="6C382C77"/>
    <w:rsid w:val="6C4433CA"/>
    <w:rsid w:val="6C6F6AAA"/>
    <w:rsid w:val="6C757A27"/>
    <w:rsid w:val="6CB10090"/>
    <w:rsid w:val="6CB95B66"/>
    <w:rsid w:val="6CC3252A"/>
    <w:rsid w:val="6D0B3EE8"/>
    <w:rsid w:val="6D235337"/>
    <w:rsid w:val="6DF42A6E"/>
    <w:rsid w:val="6E7FE5F3"/>
    <w:rsid w:val="6EC512AB"/>
    <w:rsid w:val="6ED98BB6"/>
    <w:rsid w:val="6F01B20A"/>
    <w:rsid w:val="6F3F585A"/>
    <w:rsid w:val="6F724BEA"/>
    <w:rsid w:val="6FBB27F8"/>
    <w:rsid w:val="6FD32E4E"/>
    <w:rsid w:val="6FD58186"/>
    <w:rsid w:val="6FDA2D4C"/>
    <w:rsid w:val="6FFF438D"/>
    <w:rsid w:val="701779EC"/>
    <w:rsid w:val="70231639"/>
    <w:rsid w:val="70514307"/>
    <w:rsid w:val="710C3C15"/>
    <w:rsid w:val="713E488C"/>
    <w:rsid w:val="72071122"/>
    <w:rsid w:val="722E31B0"/>
    <w:rsid w:val="723B0DCB"/>
    <w:rsid w:val="73BFAC32"/>
    <w:rsid w:val="74D86DA5"/>
    <w:rsid w:val="753EB774"/>
    <w:rsid w:val="757DE146"/>
    <w:rsid w:val="75CF37D8"/>
    <w:rsid w:val="75D73132"/>
    <w:rsid w:val="75ED5D32"/>
    <w:rsid w:val="75F72509"/>
    <w:rsid w:val="75FE4F9B"/>
    <w:rsid w:val="76F630F6"/>
    <w:rsid w:val="76F95108"/>
    <w:rsid w:val="776B3B3C"/>
    <w:rsid w:val="781A5D37"/>
    <w:rsid w:val="78E977D3"/>
    <w:rsid w:val="78FB3062"/>
    <w:rsid w:val="795804B5"/>
    <w:rsid w:val="7A95C2E5"/>
    <w:rsid w:val="7BEFA0DA"/>
    <w:rsid w:val="7C821D28"/>
    <w:rsid w:val="7CD86970"/>
    <w:rsid w:val="7D4F7E21"/>
    <w:rsid w:val="7D6E64F9"/>
    <w:rsid w:val="7DD7B6FA"/>
    <w:rsid w:val="7DF07E89"/>
    <w:rsid w:val="7DFFEDB5"/>
    <w:rsid w:val="7EF63CA4"/>
    <w:rsid w:val="7F625BE9"/>
    <w:rsid w:val="7F6B6382"/>
    <w:rsid w:val="7F7D58EC"/>
    <w:rsid w:val="7F94A5F2"/>
    <w:rsid w:val="7FD80425"/>
    <w:rsid w:val="7FE5528E"/>
    <w:rsid w:val="7FECE7E3"/>
    <w:rsid w:val="7FF66D16"/>
    <w:rsid w:val="7FF741F4"/>
    <w:rsid w:val="7FF802FC"/>
    <w:rsid w:val="7FFE6771"/>
    <w:rsid w:val="7FFF706F"/>
    <w:rsid w:val="87D71F02"/>
    <w:rsid w:val="96BFE138"/>
    <w:rsid w:val="9D4B5CFF"/>
    <w:rsid w:val="9DF52EEB"/>
    <w:rsid w:val="9E5B9C6D"/>
    <w:rsid w:val="9FFD593A"/>
    <w:rsid w:val="A57ECB15"/>
    <w:rsid w:val="A7DF8089"/>
    <w:rsid w:val="ABFB30CB"/>
    <w:rsid w:val="B9FEBF89"/>
    <w:rsid w:val="BA7B23C6"/>
    <w:rsid w:val="BB5B83D2"/>
    <w:rsid w:val="BB5FF9FC"/>
    <w:rsid w:val="BDBF170B"/>
    <w:rsid w:val="BDDD1A41"/>
    <w:rsid w:val="BDF3BBC2"/>
    <w:rsid w:val="BFCEAA30"/>
    <w:rsid w:val="BFF5621C"/>
    <w:rsid w:val="BFFF39B7"/>
    <w:rsid w:val="BFFF8F52"/>
    <w:rsid w:val="CABB577F"/>
    <w:rsid w:val="CDB3242A"/>
    <w:rsid w:val="CECF9C5E"/>
    <w:rsid w:val="CF4E6D15"/>
    <w:rsid w:val="CFFF7263"/>
    <w:rsid w:val="D7EFF854"/>
    <w:rsid w:val="D7FFCACD"/>
    <w:rsid w:val="DBCB40D2"/>
    <w:rsid w:val="DC7D92F4"/>
    <w:rsid w:val="DDDFDF31"/>
    <w:rsid w:val="DEA74987"/>
    <w:rsid w:val="DF7F614B"/>
    <w:rsid w:val="DFEFD79F"/>
    <w:rsid w:val="DFF7E9E8"/>
    <w:rsid w:val="E66D4FA0"/>
    <w:rsid w:val="E67477B1"/>
    <w:rsid w:val="E9F71EFB"/>
    <w:rsid w:val="EBDB02E9"/>
    <w:rsid w:val="EBEF56AC"/>
    <w:rsid w:val="EFBAD658"/>
    <w:rsid w:val="EFDF5B92"/>
    <w:rsid w:val="EFEF869C"/>
    <w:rsid w:val="F0FA5591"/>
    <w:rsid w:val="F153585C"/>
    <w:rsid w:val="F5FFB8AD"/>
    <w:rsid w:val="F67A358D"/>
    <w:rsid w:val="F7DBA7FC"/>
    <w:rsid w:val="F97F6368"/>
    <w:rsid w:val="F9F5262C"/>
    <w:rsid w:val="FA5B6E38"/>
    <w:rsid w:val="FA5FE325"/>
    <w:rsid w:val="FAB69247"/>
    <w:rsid w:val="FB6E079A"/>
    <w:rsid w:val="FB7E255A"/>
    <w:rsid w:val="FBBDE87A"/>
    <w:rsid w:val="FBD7763A"/>
    <w:rsid w:val="FDF5C5DC"/>
    <w:rsid w:val="FDFB1087"/>
    <w:rsid w:val="FDFF6877"/>
    <w:rsid w:val="FE734873"/>
    <w:rsid w:val="FE7F5B81"/>
    <w:rsid w:val="FEF67851"/>
    <w:rsid w:val="FF1F9207"/>
    <w:rsid w:val="FF9D0307"/>
    <w:rsid w:val="FFB38510"/>
    <w:rsid w:val="FFBEAE68"/>
    <w:rsid w:val="FFD3ED7D"/>
    <w:rsid w:val="FFD421E4"/>
    <w:rsid w:val="FFD6E080"/>
    <w:rsid w:val="FFEB40EF"/>
    <w:rsid w:val="FFED2A64"/>
    <w:rsid w:val="FFF7180F"/>
    <w:rsid w:val="FFFEB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1"/>
    <w:next w:val="1"/>
    <w:link w:val="34"/>
    <w:qFormat/>
    <w:uiPriority w:val="9"/>
    <w:pPr>
      <w:widowControl w:val="0"/>
      <w:adjustRightInd w:val="0"/>
      <w:spacing w:before="320" w:after="160" w:line="36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link w:val="35"/>
    <w:unhideWhenUsed/>
    <w:qFormat/>
    <w:uiPriority w:val="9"/>
    <w:pPr>
      <w:widowControl w:val="0"/>
      <w:adjustRightInd w:val="0"/>
      <w:spacing w:before="50" w:beforeLines="50" w:after="160" w:line="360" w:lineRule="auto"/>
      <w:jc w:val="both"/>
      <w:outlineLvl w:val="1"/>
    </w:pPr>
    <w:rPr>
      <w:rFonts w:ascii="Times New Roman" w:hAnsi="Times New Roman" w:eastAsia="仿宋" w:cs="Times New Roman"/>
      <w:b/>
      <w:kern w:val="2"/>
      <w:sz w:val="28"/>
      <w:szCs w:val="32"/>
      <w:lang w:val="en-US" w:eastAsia="zh-CN" w:bidi="ar-SA"/>
    </w:rPr>
  </w:style>
  <w:style w:type="paragraph" w:styleId="4">
    <w:name w:val="heading 3"/>
    <w:next w:val="1"/>
    <w:link w:val="36"/>
    <w:semiHidden/>
    <w:unhideWhenUsed/>
    <w:qFormat/>
    <w:uiPriority w:val="9"/>
    <w:pPr>
      <w:keepNext/>
      <w:keepLines/>
      <w:widowControl w:val="0"/>
      <w:adjustRightInd w:val="0"/>
      <w:spacing w:before="240" w:after="160" w:line="300" w:lineRule="auto"/>
      <w:jc w:val="both"/>
      <w:outlineLvl w:val="2"/>
    </w:pPr>
    <w:rPr>
      <w:rFonts w:ascii="Times New Roman" w:hAnsi="Times New Roman" w:eastAsia="黑体" w:cs="Times New Roman"/>
      <w:kern w:val="2"/>
      <w:sz w:val="30"/>
      <w:szCs w:val="24"/>
      <w:lang w:val="en-US" w:eastAsia="zh-CN" w:bidi="ar-SA"/>
    </w:rPr>
  </w:style>
  <w:style w:type="paragraph" w:styleId="5">
    <w:name w:val="heading 4"/>
    <w:next w:val="1"/>
    <w:link w:val="37"/>
    <w:semiHidden/>
    <w:unhideWhenUsed/>
    <w:qFormat/>
    <w:uiPriority w:val="9"/>
    <w:pPr>
      <w:keepNext/>
      <w:keepLines/>
      <w:widowControl w:val="0"/>
      <w:adjustRightInd w:val="0"/>
      <w:spacing w:before="200" w:after="16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link w:val="38"/>
    <w:semiHidden/>
    <w:unhideWhenUsed/>
    <w:qFormat/>
    <w:uiPriority w:val="9"/>
    <w:pPr>
      <w:keepNext/>
      <w:keepLines/>
      <w:widowControl w:val="0"/>
      <w:adjustRightInd w:val="0"/>
      <w:spacing w:before="160" w:after="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link w:val="39"/>
    <w:semiHidden/>
    <w:unhideWhenUsed/>
    <w:qFormat/>
    <w:uiPriority w:val="9"/>
    <w:pPr>
      <w:keepNext/>
      <w:keepLines/>
      <w:widowControl w:val="0"/>
      <w:adjustRightInd w:val="0"/>
      <w:spacing w:before="120" w:after="16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next w:val="1"/>
    <w:link w:val="40"/>
    <w:semiHidden/>
    <w:unhideWhenUsed/>
    <w:qFormat/>
    <w:uiPriority w:val="9"/>
    <w:pPr>
      <w:keepNext/>
      <w:keepLines/>
      <w:widowControl w:val="0"/>
      <w:adjustRightInd w:val="0"/>
      <w:spacing w:before="120" w:after="160" w:line="300" w:lineRule="auto"/>
      <w:jc w:val="both"/>
      <w:outlineLvl w:val="6"/>
    </w:pPr>
    <w:rPr>
      <w:rFonts w:ascii="Times New Roman" w:hAnsi="Times New Roman" w:eastAsia="黑体" w:cs="Times New Roman"/>
      <w:bCs/>
      <w:kern w:val="2"/>
      <w:sz w:val="24"/>
      <w:szCs w:val="24"/>
      <w:lang w:val="en-US" w:eastAsia="zh-CN" w:bidi="ar-SA"/>
    </w:rPr>
  </w:style>
  <w:style w:type="paragraph" w:styleId="9">
    <w:name w:val="heading 8"/>
    <w:next w:val="1"/>
    <w:link w:val="41"/>
    <w:semiHidden/>
    <w:unhideWhenUsed/>
    <w:qFormat/>
    <w:uiPriority w:val="9"/>
    <w:pPr>
      <w:keepNext/>
      <w:keepLines/>
      <w:widowControl w:val="0"/>
      <w:adjustRightInd w:val="0"/>
      <w:spacing w:before="120" w:after="160" w:line="300" w:lineRule="auto"/>
      <w:jc w:val="both"/>
      <w:outlineLvl w:val="7"/>
    </w:pPr>
    <w:rPr>
      <w:rFonts w:ascii="Times New Roman" w:hAnsi="Times New Roman" w:eastAsia="黑体" w:cs="Times New Roman"/>
      <w:kern w:val="2"/>
      <w:sz w:val="24"/>
      <w:szCs w:val="24"/>
      <w:lang w:val="en-US" w:eastAsia="zh-CN" w:bidi="ar-SA"/>
    </w:rPr>
  </w:style>
  <w:style w:type="paragraph" w:styleId="10">
    <w:name w:val="heading 9"/>
    <w:next w:val="1"/>
    <w:link w:val="42"/>
    <w:semiHidden/>
    <w:unhideWhenUsed/>
    <w:qFormat/>
    <w:uiPriority w:val="9"/>
    <w:pPr>
      <w:keepNext/>
      <w:keepLines/>
      <w:widowControl w:val="0"/>
      <w:adjustRightInd w:val="0"/>
      <w:spacing w:before="120" w:after="16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78" w:lineRule="auto"/>
      <w:ind w:left="2520" w:leftChars="1200" w:firstLine="0" w:firstLineChars="0"/>
      <w:jc w:val="left"/>
    </w:pPr>
    <w:rPr>
      <w:rFonts w:asciiTheme="minorHAnsi" w:hAnsiTheme="minorHAnsi" w:eastAsiaTheme="minorEastAsia"/>
      <w:sz w:val="22"/>
      <w:szCs w:val="24"/>
      <w14:ligatures w14:val="standardContextual"/>
    </w:rPr>
  </w:style>
  <w:style w:type="paragraph" w:styleId="12">
    <w:name w:val="annotation text"/>
    <w:basedOn w:val="1"/>
    <w:semiHidden/>
    <w:unhideWhenUsed/>
    <w:qFormat/>
    <w:uiPriority w:val="99"/>
    <w:pPr>
      <w:jc w:val="left"/>
    </w:pPr>
  </w:style>
  <w:style w:type="paragraph" w:styleId="13">
    <w:name w:val="Body Text"/>
    <w:link w:val="55"/>
    <w:unhideWhenUsed/>
    <w:qFormat/>
    <w:uiPriority w:val="99"/>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4">
    <w:name w:val="toc 5"/>
    <w:basedOn w:val="1"/>
    <w:next w:val="1"/>
    <w:unhideWhenUsed/>
    <w:qFormat/>
    <w:uiPriority w:val="39"/>
    <w:pPr>
      <w:spacing w:line="278" w:lineRule="auto"/>
      <w:ind w:left="1680" w:leftChars="800" w:firstLine="0" w:firstLineChars="0"/>
      <w:jc w:val="left"/>
    </w:pPr>
    <w:rPr>
      <w:rFonts w:asciiTheme="minorHAnsi" w:hAnsiTheme="minorHAnsi" w:eastAsiaTheme="minorEastAsia"/>
      <w:sz w:val="22"/>
      <w:szCs w:val="24"/>
      <w14:ligatures w14:val="standardContextual"/>
    </w:rPr>
  </w:style>
  <w:style w:type="paragraph" w:styleId="15">
    <w:name w:val="toc 3"/>
    <w:basedOn w:val="1"/>
    <w:next w:val="1"/>
    <w:unhideWhenUsed/>
    <w:qFormat/>
    <w:uiPriority w:val="39"/>
    <w:pPr>
      <w:spacing w:line="278" w:lineRule="auto"/>
      <w:ind w:left="840" w:leftChars="400" w:firstLine="0" w:firstLineChars="0"/>
      <w:jc w:val="left"/>
    </w:pPr>
    <w:rPr>
      <w:rFonts w:asciiTheme="minorHAnsi" w:hAnsiTheme="minorHAnsi" w:eastAsiaTheme="minorEastAsia"/>
      <w:sz w:val="22"/>
      <w:szCs w:val="24"/>
      <w14:ligatures w14:val="standardContextual"/>
    </w:rPr>
  </w:style>
  <w:style w:type="paragraph" w:styleId="16">
    <w:name w:val="toc 8"/>
    <w:basedOn w:val="1"/>
    <w:next w:val="1"/>
    <w:unhideWhenUsed/>
    <w:qFormat/>
    <w:uiPriority w:val="39"/>
    <w:pPr>
      <w:spacing w:line="278" w:lineRule="auto"/>
      <w:ind w:left="2940" w:leftChars="1400" w:firstLine="0" w:firstLineChars="0"/>
      <w:jc w:val="left"/>
    </w:pPr>
    <w:rPr>
      <w:rFonts w:asciiTheme="minorHAnsi" w:hAnsiTheme="minorHAnsi" w:eastAsiaTheme="minorEastAsia"/>
      <w:sz w:val="22"/>
      <w:szCs w:val="24"/>
      <w14:ligatures w14:val="standardContextual"/>
    </w:rPr>
  </w:style>
  <w:style w:type="paragraph" w:styleId="17">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1"/>
    <w:unhideWhenUsed/>
    <w:qFormat/>
    <w:uiPriority w:val="99"/>
    <w:pP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pPr>
      <w:tabs>
        <w:tab w:val="right" w:leader="dot" w:pos="8724"/>
      </w:tabs>
      <w:spacing w:line="520" w:lineRule="exact"/>
      <w:ind w:firstLine="0" w:firstLineChars="0"/>
      <w:jc w:val="center"/>
    </w:pPr>
    <w:rPr>
      <w:rFonts w:ascii="方正黑体简体" w:hAnsi="方正黑体简体" w:eastAsia="方正黑体简体"/>
      <w:b/>
      <w:bCs/>
      <w:color w:val="000000" w:themeColor="text1"/>
      <w14:textFill>
        <w14:solidFill>
          <w14:schemeClr w14:val="tx1"/>
        </w14:solidFill>
      </w14:textFill>
    </w:rPr>
  </w:style>
  <w:style w:type="paragraph" w:styleId="20">
    <w:name w:val="toc 4"/>
    <w:basedOn w:val="1"/>
    <w:next w:val="1"/>
    <w:unhideWhenUsed/>
    <w:qFormat/>
    <w:uiPriority w:val="39"/>
    <w:pPr>
      <w:spacing w:line="278" w:lineRule="auto"/>
      <w:ind w:left="1260" w:leftChars="600" w:firstLine="0" w:firstLineChars="0"/>
      <w:jc w:val="left"/>
    </w:pPr>
    <w:rPr>
      <w:rFonts w:asciiTheme="minorHAnsi" w:hAnsiTheme="minorHAnsi" w:eastAsiaTheme="minorEastAsia"/>
      <w:sz w:val="22"/>
      <w:szCs w:val="24"/>
      <w14:ligatures w14:val="standardContextual"/>
    </w:rPr>
  </w:style>
  <w:style w:type="paragraph" w:styleId="21">
    <w:name w:val="Subtitle"/>
    <w:next w:val="1"/>
    <w:link w:val="43"/>
    <w:qFormat/>
    <w:uiPriority w:val="11"/>
    <w:pPr>
      <w:widowControl w:val="0"/>
      <w:adjustRightInd w:val="0"/>
      <w:spacing w:before="100" w:after="100" w:line="278" w:lineRule="auto"/>
      <w:jc w:val="center"/>
    </w:pPr>
    <w:rPr>
      <w:rFonts w:ascii="Times New Roman" w:hAnsi="Times New Roman" w:eastAsia="黑体" w:cs="Times New Roman"/>
      <w:kern w:val="28"/>
      <w:sz w:val="32"/>
      <w:szCs w:val="24"/>
      <w:lang w:val="en-US" w:eastAsia="zh-CN" w:bidi="ar-SA"/>
    </w:rPr>
  </w:style>
  <w:style w:type="paragraph" w:styleId="22">
    <w:name w:val="toc 6"/>
    <w:basedOn w:val="1"/>
    <w:next w:val="1"/>
    <w:unhideWhenUsed/>
    <w:qFormat/>
    <w:uiPriority w:val="39"/>
    <w:pPr>
      <w:spacing w:line="278" w:lineRule="auto"/>
      <w:ind w:left="2100" w:leftChars="1000" w:firstLine="0" w:firstLineChars="0"/>
      <w:jc w:val="left"/>
    </w:pPr>
    <w:rPr>
      <w:rFonts w:asciiTheme="minorHAnsi" w:hAnsiTheme="minorHAnsi" w:eastAsiaTheme="minorEastAsia"/>
      <w:sz w:val="22"/>
      <w:szCs w:val="24"/>
      <w14:ligatures w14:val="standardContextual"/>
    </w:r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spacing w:line="278" w:lineRule="auto"/>
      <w:ind w:left="3360" w:leftChars="1600" w:firstLine="0" w:firstLineChars="0"/>
      <w:jc w:val="left"/>
    </w:pPr>
    <w:rPr>
      <w:rFonts w:asciiTheme="minorHAnsi" w:hAnsiTheme="minorHAnsi" w:eastAsiaTheme="minorEastAsia"/>
      <w:sz w:val="22"/>
      <w:szCs w:val="24"/>
      <w14:ligatures w14:val="standardContextual"/>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26">
    <w:name w:val="Normal (Web)"/>
    <w:basedOn w:val="1"/>
    <w:semiHidden/>
    <w:unhideWhenUsed/>
    <w:qFormat/>
    <w:uiPriority w:val="99"/>
    <w:rPr>
      <w:sz w:val="24"/>
    </w:rPr>
  </w:style>
  <w:style w:type="paragraph" w:styleId="27">
    <w:name w:val="Title"/>
    <w:next w:val="1"/>
    <w:link w:val="33"/>
    <w:qFormat/>
    <w:uiPriority w:val="10"/>
    <w:pPr>
      <w:widowControl w:val="0"/>
      <w:adjustRightInd w:val="0"/>
      <w:spacing w:before="100" w:after="100" w:line="278" w:lineRule="auto"/>
      <w:jc w:val="center"/>
    </w:pPr>
    <w:rPr>
      <w:rFonts w:ascii="Times New Roman" w:hAnsi="Times New Roman" w:eastAsia="黑体" w:cs="Times New Roman"/>
      <w:kern w:val="2"/>
      <w:sz w:val="36"/>
      <w:szCs w:val="24"/>
      <w:lang w:val="en-US" w:eastAsia="zh-CN" w:bidi="ar-SA"/>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Hyperlink"/>
    <w:basedOn w:val="30"/>
    <w:unhideWhenUsed/>
    <w:qFormat/>
    <w:uiPriority w:val="99"/>
    <w:rPr>
      <w:color w:val="0026E5" w:themeColor="hyperlink"/>
      <w:u w:val="single"/>
      <w14:textFill>
        <w14:solidFill>
          <w14:schemeClr w14:val="hlink"/>
        </w14:solidFill>
      </w14:textFill>
    </w:rPr>
  </w:style>
  <w:style w:type="character" w:customStyle="1" w:styleId="33">
    <w:name w:val="标题 字符"/>
    <w:basedOn w:val="30"/>
    <w:link w:val="27"/>
    <w:qFormat/>
    <w:uiPriority w:val="10"/>
    <w:rPr>
      <w:rFonts w:eastAsia="宋体" w:asciiTheme="majorHAnsi" w:hAnsiTheme="majorHAnsi" w:cstheme="majorBidi"/>
      <w:b/>
      <w:kern w:val="28"/>
      <w:sz w:val="44"/>
      <w:szCs w:val="56"/>
    </w:rPr>
  </w:style>
  <w:style w:type="character" w:customStyle="1" w:styleId="34">
    <w:name w:val="标题 1 字符"/>
    <w:basedOn w:val="30"/>
    <w:link w:val="2"/>
    <w:qFormat/>
    <w:uiPriority w:val="9"/>
    <w:rPr>
      <w:rFonts w:eastAsia="黑体"/>
      <w:color w:val="000000"/>
      <w:kern w:val="44"/>
      <w:sz w:val="32"/>
      <w:szCs w:val="44"/>
    </w:rPr>
  </w:style>
  <w:style w:type="character" w:customStyle="1" w:styleId="35">
    <w:name w:val="标题 2 字符"/>
    <w:basedOn w:val="30"/>
    <w:link w:val="3"/>
    <w:qFormat/>
    <w:uiPriority w:val="9"/>
    <w:rPr>
      <w:rFonts w:eastAsia="仿宋"/>
      <w:b/>
      <w:kern w:val="2"/>
      <w:sz w:val="28"/>
      <w:szCs w:val="32"/>
    </w:rPr>
  </w:style>
  <w:style w:type="character" w:customStyle="1" w:styleId="36">
    <w:name w:val="标题 3 字符"/>
    <w:basedOn w:val="30"/>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37">
    <w:name w:val="标题 4 字符"/>
    <w:basedOn w:val="30"/>
    <w:link w:val="5"/>
    <w:semiHidden/>
    <w:qFormat/>
    <w:uiPriority w:val="9"/>
    <w:rPr>
      <w:rFonts w:cstheme="majorBidi"/>
      <w:color w:val="2E54A1" w:themeColor="accent1" w:themeShade="BF"/>
      <w:sz w:val="28"/>
      <w:szCs w:val="28"/>
    </w:rPr>
  </w:style>
  <w:style w:type="character" w:customStyle="1" w:styleId="38">
    <w:name w:val="标题 5 字符"/>
    <w:basedOn w:val="30"/>
    <w:link w:val="6"/>
    <w:semiHidden/>
    <w:qFormat/>
    <w:uiPriority w:val="9"/>
    <w:rPr>
      <w:rFonts w:cstheme="majorBidi"/>
      <w:color w:val="2E54A1" w:themeColor="accent1" w:themeShade="BF"/>
      <w:sz w:val="24"/>
      <w:szCs w:val="24"/>
    </w:rPr>
  </w:style>
  <w:style w:type="character" w:customStyle="1" w:styleId="39">
    <w:name w:val="标题 6 字符"/>
    <w:basedOn w:val="30"/>
    <w:link w:val="7"/>
    <w:semiHidden/>
    <w:qFormat/>
    <w:uiPriority w:val="9"/>
    <w:rPr>
      <w:rFonts w:cstheme="majorBidi"/>
      <w:b/>
      <w:bCs/>
      <w:color w:val="2E54A1" w:themeColor="accent1" w:themeShade="BF"/>
      <w:sz w:val="28"/>
    </w:rPr>
  </w:style>
  <w:style w:type="character" w:customStyle="1" w:styleId="40">
    <w:name w:val="标题 7 字符"/>
    <w:basedOn w:val="30"/>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41">
    <w:name w:val="标题 8 字符"/>
    <w:basedOn w:val="30"/>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42">
    <w:name w:val="标题 9 字符"/>
    <w:basedOn w:val="30"/>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43">
    <w:name w:val="副标题 字符"/>
    <w:basedOn w:val="30"/>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30"/>
    <w:link w:val="44"/>
    <w:qFormat/>
    <w:uiPriority w:val="29"/>
    <w:rPr>
      <w:rFonts w:ascii="Times New Roman" w:hAnsi="Times New Roman" w:eastAsia="宋体"/>
      <w:i/>
      <w:iCs/>
      <w:color w:val="404040" w:themeColor="text1" w:themeTint="BF"/>
      <w:sz w:val="28"/>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30"/>
    <w:qFormat/>
    <w:uiPriority w:val="21"/>
    <w:rPr>
      <w:i/>
      <w:iCs/>
      <w:color w:val="2E54A1" w:themeColor="accent1" w:themeShade="BF"/>
    </w:rPr>
  </w:style>
  <w:style w:type="paragraph" w:styleId="48">
    <w:name w:val="Intense Quote"/>
    <w:basedOn w:val="1"/>
    <w:next w:val="1"/>
    <w:link w:val="49"/>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49">
    <w:name w:val="明显引用 字符"/>
    <w:basedOn w:val="30"/>
    <w:link w:val="48"/>
    <w:qFormat/>
    <w:uiPriority w:val="30"/>
    <w:rPr>
      <w:rFonts w:ascii="Times New Roman" w:hAnsi="Times New Roman" w:eastAsia="宋体"/>
      <w:i/>
      <w:iCs/>
      <w:color w:val="2E54A1" w:themeColor="accent1" w:themeShade="BF"/>
      <w:sz w:val="28"/>
    </w:rPr>
  </w:style>
  <w:style w:type="character" w:customStyle="1" w:styleId="50">
    <w:name w:val="明显参考1"/>
    <w:basedOn w:val="30"/>
    <w:qFormat/>
    <w:uiPriority w:val="32"/>
    <w:rPr>
      <w:b/>
      <w:bCs/>
      <w:smallCaps/>
      <w:color w:val="2E54A1" w:themeColor="accent1" w:themeShade="BF"/>
      <w:spacing w:val="5"/>
    </w:rPr>
  </w:style>
  <w:style w:type="character" w:customStyle="1" w:styleId="51">
    <w:name w:val="页眉 字符"/>
    <w:basedOn w:val="30"/>
    <w:link w:val="18"/>
    <w:qFormat/>
    <w:uiPriority w:val="99"/>
    <w:rPr>
      <w:rFonts w:ascii="Times New Roman" w:hAnsi="Times New Roman" w:eastAsia="宋体"/>
      <w:sz w:val="18"/>
      <w:szCs w:val="18"/>
    </w:rPr>
  </w:style>
  <w:style w:type="character" w:customStyle="1" w:styleId="52">
    <w:name w:val="页脚 字符"/>
    <w:basedOn w:val="30"/>
    <w:link w:val="17"/>
    <w:qFormat/>
    <w:uiPriority w:val="99"/>
    <w:rPr>
      <w:rFonts w:ascii="Times New Roman" w:hAnsi="Times New Roman" w:eastAsia="宋体"/>
      <w:sz w:val="18"/>
      <w:szCs w:val="18"/>
    </w:rPr>
  </w:style>
  <w:style w:type="paragraph" w:customStyle="1" w:styleId="53">
    <w:name w:val="TOC 标题1"/>
    <w:basedOn w:val="2"/>
    <w:next w:val="1"/>
    <w:unhideWhenUsed/>
    <w:qFormat/>
    <w:uiPriority w:val="39"/>
    <w:pPr>
      <w:keepNext/>
      <w:keepLines/>
      <w:widowControl/>
      <w:adjustRightInd/>
      <w:spacing w:before="240" w:line="259" w:lineRule="auto"/>
      <w:jc w:val="left"/>
      <w:outlineLvl w:val="9"/>
    </w:pPr>
    <w:rPr>
      <w:rFonts w:asciiTheme="majorHAnsi" w:hAnsiTheme="majorHAnsi" w:eastAsiaTheme="majorEastAsia" w:cstheme="majorBidi"/>
      <w:color w:val="2E54A1" w:themeColor="accent1" w:themeShade="BF"/>
      <w:kern w:val="0"/>
      <w:szCs w:val="32"/>
    </w:rPr>
  </w:style>
  <w:style w:type="character" w:customStyle="1" w:styleId="54">
    <w:name w:val="未处理的提及1"/>
    <w:basedOn w:val="30"/>
    <w:semiHidden/>
    <w:unhideWhenUsed/>
    <w:qFormat/>
    <w:uiPriority w:val="99"/>
    <w:rPr>
      <w:color w:val="605E5C"/>
      <w:shd w:val="clear" w:color="auto" w:fill="E1DFDD"/>
    </w:rPr>
  </w:style>
  <w:style w:type="character" w:customStyle="1" w:styleId="55">
    <w:name w:val="正文文本 字符"/>
    <w:basedOn w:val="30"/>
    <w:link w:val="13"/>
    <w:qFormat/>
    <w:uiPriority w:val="99"/>
    <w:rPr>
      <w:kern w:val="2"/>
      <w:sz w:val="24"/>
      <w:szCs w:val="24"/>
    </w:rPr>
  </w:style>
  <w:style w:type="paragraph" w:customStyle="1" w:styleId="56">
    <w:name w:val="ds-markdown-paragraph"/>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character" w:customStyle="1" w:styleId="57">
    <w:name w:val="未处理的提及2"/>
    <w:basedOn w:val="30"/>
    <w:semiHidden/>
    <w:unhideWhenUsed/>
    <w:qFormat/>
    <w:uiPriority w:val="99"/>
    <w:rPr>
      <w:color w:val="605E5C"/>
      <w:shd w:val="clear" w:color="auto" w:fill="E1DFDD"/>
    </w:rPr>
  </w:style>
  <w:style w:type="character" w:customStyle="1" w:styleId="58">
    <w:name w:val="未处理的提及3"/>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23234</Words>
  <Characters>23490</Characters>
  <Lines>234</Lines>
  <Paragraphs>65</Paragraphs>
  <TotalTime>13</TotalTime>
  <ScaleCrop>false</ScaleCrop>
  <LinksUpToDate>false</LinksUpToDate>
  <CharactersWithSpaces>23649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2026-03-16T03:07:00Z</dcterms:created>
  <dc:creator>乃博 孙</dc:creator>
  <cp:lastModifiedBy>970</cp:lastModifiedBy>
  <cp:lastPrinted>2026-03-30T17:10:00Z</cp:lastPrinted>
  <dcterms:modified xsi:type="dcterms:W3CDTF">2026-05-27T11:09:49Z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eyJoZGlkIjoiODMwODlmNTczMzZmNGFiN2M4MTU1ZTg2MjExNDg5NWMiLCJ1c2VySWQiOiIyNTQ4MTQ4OCJ9</vt:lpwstr>
  </property>
  <property fmtid="{D5CDD505-2E9C-101B-9397-08002B2CF9AE}" pid="3" name="KSOProductBuildVer">
    <vt:lpwstr>2052-11.8.2.10290</vt:lpwstr>
  </property>
  <property fmtid="{D5CDD505-2E9C-101B-9397-08002B2CF9AE}" pid="4" name="ICV">
    <vt:lpwstr>B6CEE1187E0146A180E4F7ABD9F5F1C5_13</vt:lpwstr>
  </property>
</Properties>
</file>