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32" w:firstLineChars="200"/>
        <w:jc w:val="right"/>
        <w:rPr>
          <w:rFonts w:ascii="仿宋_GB2312" w:eastAsia="仿宋_GB2312"/>
        </w:rPr>
      </w:pPr>
    </w:p>
    <w:p>
      <w:pPr>
        <w:jc w:val="center"/>
        <w:rPr>
          <w:rFonts w:ascii="仿宋_GB2312" w:eastAsia="仿宋_GB2312"/>
        </w:rPr>
      </w:pPr>
    </w:p>
    <w:p>
      <w:pPr>
        <w:jc w:val="center"/>
        <w:rPr>
          <w:rFonts w:ascii="仿宋_GB2312" w:eastAsia="仿宋_GB2312"/>
        </w:rPr>
      </w:pPr>
    </w:p>
    <w:p>
      <w:pPr>
        <w:jc w:val="center"/>
        <w:rPr>
          <w:rFonts w:ascii="方正小标宋简体" w:eastAsia="方正小标宋简体"/>
          <w:spacing w:val="60"/>
          <w:sz w:val="74"/>
        </w:rPr>
      </w:pPr>
      <w:r>
        <w:rPr>
          <w:rFonts w:hint="eastAsia" w:ascii="方正小标宋简体" w:eastAsia="方正小标宋简体"/>
          <w:spacing w:val="60"/>
          <w:sz w:val="74"/>
        </w:rPr>
        <w:t>2019年度济宁市</w:t>
      </w:r>
    </w:p>
    <w:p>
      <w:pPr>
        <w:jc w:val="center"/>
        <w:rPr>
          <w:rFonts w:ascii="方正小标宋简体" w:eastAsia="方正小标宋简体"/>
          <w:spacing w:val="60"/>
          <w:sz w:val="74"/>
        </w:rPr>
      </w:pPr>
      <w:r>
        <w:rPr>
          <w:rFonts w:hint="eastAsia" w:ascii="方正小标宋简体" w:eastAsia="方正小标宋简体"/>
          <w:spacing w:val="60"/>
          <w:sz w:val="74"/>
        </w:rPr>
        <w:t>应急管理局部门决算</w:t>
      </w:r>
    </w:p>
    <w:p>
      <w:pPr>
        <w:jc w:val="center"/>
        <w:rPr>
          <w:rFonts w:ascii="楷体_GB2312" w:eastAsia="楷体_GB2312"/>
          <w:b/>
          <w:sz w:val="42"/>
        </w:rPr>
      </w:pPr>
    </w:p>
    <w:p>
      <w:pPr>
        <w:jc w:val="center"/>
        <w:rPr>
          <w:rFonts w:ascii="楷体_GB2312" w:eastAsia="楷体_GB2312"/>
          <w:b/>
          <w:sz w:val="42"/>
        </w:rPr>
      </w:pPr>
    </w:p>
    <w:p>
      <w:pPr>
        <w:rPr>
          <w:rFonts w:ascii="仿宋_GB2312" w:eastAsia="仿宋_GB2312"/>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r>
        <w:rPr>
          <w:rFonts w:hint="eastAsia" w:ascii="方正小标宋简体" w:eastAsia="方正小标宋简体"/>
          <w:sz w:val="44"/>
          <w:szCs w:val="44"/>
        </w:rPr>
        <w:t>目  录</w:t>
      </w:r>
    </w:p>
    <w:p>
      <w:pPr>
        <w:spacing w:line="580" w:lineRule="exact"/>
        <w:ind w:firstLine="316" w:firstLineChars="100"/>
        <w:rPr>
          <w:rFonts w:ascii="黑体" w:hAnsi="黑体" w:eastAsia="黑体"/>
        </w:rPr>
      </w:pPr>
      <w:r>
        <w:rPr>
          <w:rFonts w:hint="eastAsia" w:ascii="黑体" w:hAnsi="黑体" w:eastAsia="黑体"/>
        </w:rPr>
        <w:t>第一部分  部门概况</w:t>
      </w:r>
    </w:p>
    <w:p>
      <w:pPr>
        <w:spacing w:line="580" w:lineRule="exact"/>
        <w:ind w:firstLine="632" w:firstLineChars="200"/>
        <w:rPr>
          <w:rFonts w:ascii="仿宋_GB2312" w:eastAsia="仿宋_GB2312"/>
        </w:rPr>
      </w:pPr>
      <w:r>
        <w:rPr>
          <w:rFonts w:hint="eastAsia" w:ascii="仿宋_GB2312" w:eastAsia="仿宋_GB2312"/>
        </w:rPr>
        <w:t>一、部门职责</w:t>
      </w:r>
    </w:p>
    <w:p>
      <w:pPr>
        <w:spacing w:line="580" w:lineRule="exact"/>
        <w:ind w:firstLine="632" w:firstLineChars="200"/>
        <w:rPr>
          <w:rFonts w:ascii="仿宋_GB2312" w:eastAsia="仿宋_GB2312"/>
        </w:rPr>
      </w:pPr>
      <w:r>
        <w:rPr>
          <w:rFonts w:hint="eastAsia" w:ascii="仿宋_GB2312" w:eastAsia="仿宋_GB2312"/>
        </w:rPr>
        <w:t>二、机构设置</w:t>
      </w:r>
    </w:p>
    <w:p>
      <w:pPr>
        <w:spacing w:line="580" w:lineRule="exact"/>
        <w:ind w:firstLine="316" w:firstLineChars="100"/>
        <w:rPr>
          <w:rFonts w:ascii="黑体" w:hAnsi="黑体" w:eastAsia="黑体"/>
        </w:rPr>
      </w:pPr>
      <w:r>
        <w:rPr>
          <w:rFonts w:hint="eastAsia" w:ascii="黑体" w:hAnsi="黑体" w:eastAsia="黑体"/>
        </w:rPr>
        <w:t>第二部分  2019年度部门决算表</w:t>
      </w:r>
    </w:p>
    <w:p>
      <w:pPr>
        <w:spacing w:line="580" w:lineRule="exact"/>
        <w:ind w:firstLine="632" w:firstLineChars="200"/>
        <w:rPr>
          <w:rFonts w:ascii="仿宋_GB2312" w:eastAsia="仿宋_GB2312"/>
        </w:rPr>
      </w:pPr>
      <w:r>
        <w:rPr>
          <w:rFonts w:hint="eastAsia" w:ascii="仿宋_GB2312" w:eastAsia="仿宋_GB2312"/>
        </w:rPr>
        <w:t>一、收入支出决算总表</w:t>
      </w:r>
    </w:p>
    <w:p>
      <w:pPr>
        <w:spacing w:line="580" w:lineRule="exact"/>
        <w:ind w:firstLine="632" w:firstLineChars="200"/>
        <w:rPr>
          <w:rFonts w:ascii="仿宋_GB2312" w:eastAsia="仿宋_GB2312"/>
        </w:rPr>
      </w:pPr>
      <w:r>
        <w:rPr>
          <w:rFonts w:hint="eastAsia" w:ascii="仿宋_GB2312" w:eastAsia="仿宋_GB2312"/>
        </w:rPr>
        <w:t>二、收入决算表</w:t>
      </w:r>
    </w:p>
    <w:p>
      <w:pPr>
        <w:spacing w:line="580" w:lineRule="exact"/>
        <w:ind w:firstLine="632" w:firstLineChars="200"/>
        <w:rPr>
          <w:rFonts w:ascii="仿宋_GB2312" w:eastAsia="仿宋_GB2312"/>
        </w:rPr>
      </w:pPr>
      <w:r>
        <w:rPr>
          <w:rFonts w:hint="eastAsia" w:ascii="仿宋_GB2312" w:eastAsia="仿宋_GB2312"/>
        </w:rPr>
        <w:t>三、支出决算表</w:t>
      </w:r>
    </w:p>
    <w:p>
      <w:pPr>
        <w:spacing w:line="580" w:lineRule="exact"/>
        <w:ind w:firstLine="632" w:firstLineChars="200"/>
        <w:rPr>
          <w:rFonts w:ascii="仿宋_GB2312" w:eastAsia="仿宋_GB2312"/>
        </w:rPr>
      </w:pPr>
      <w:r>
        <w:rPr>
          <w:rFonts w:hint="eastAsia" w:ascii="仿宋_GB2312" w:eastAsia="仿宋_GB2312"/>
        </w:rPr>
        <w:t>四、财政拨款收入支出决算总表</w:t>
      </w:r>
    </w:p>
    <w:p>
      <w:pPr>
        <w:spacing w:line="580" w:lineRule="exact"/>
        <w:ind w:firstLine="632" w:firstLineChars="200"/>
        <w:rPr>
          <w:rFonts w:ascii="仿宋_GB2312" w:eastAsia="仿宋_GB2312"/>
        </w:rPr>
      </w:pPr>
      <w:r>
        <w:rPr>
          <w:rFonts w:hint="eastAsia" w:ascii="仿宋_GB2312" w:eastAsia="仿宋_GB2312"/>
        </w:rPr>
        <w:t>五、一般公共预算财政拨款支出决算表</w:t>
      </w:r>
    </w:p>
    <w:p>
      <w:pPr>
        <w:spacing w:line="580" w:lineRule="exact"/>
        <w:ind w:firstLine="632" w:firstLineChars="200"/>
        <w:rPr>
          <w:rFonts w:ascii="仿宋_GB2312" w:eastAsia="仿宋_GB2312"/>
        </w:rPr>
      </w:pPr>
      <w:r>
        <w:rPr>
          <w:rFonts w:hint="eastAsia" w:ascii="仿宋_GB2312" w:eastAsia="仿宋_GB2312"/>
        </w:rPr>
        <w:t>六、一般公共预算财政拨款基本支出决算表</w:t>
      </w:r>
    </w:p>
    <w:p>
      <w:pPr>
        <w:spacing w:line="580" w:lineRule="exact"/>
        <w:ind w:firstLine="632" w:firstLineChars="200"/>
        <w:rPr>
          <w:rFonts w:ascii="仿宋_GB2312" w:eastAsia="仿宋_GB2312"/>
        </w:rPr>
      </w:pPr>
      <w:r>
        <w:rPr>
          <w:rFonts w:hint="eastAsia" w:ascii="仿宋_GB2312" w:eastAsia="仿宋_GB2312"/>
        </w:rPr>
        <w:t>七、一般公共预算财政拨款“三公”经费支出决算表</w:t>
      </w:r>
    </w:p>
    <w:p>
      <w:pPr>
        <w:spacing w:line="580" w:lineRule="exact"/>
        <w:ind w:firstLine="632" w:firstLineChars="200"/>
        <w:rPr>
          <w:rFonts w:ascii="仿宋_GB2312" w:eastAsia="仿宋_GB2312"/>
        </w:rPr>
      </w:pPr>
      <w:r>
        <w:rPr>
          <w:rFonts w:hint="eastAsia" w:ascii="仿宋_GB2312" w:eastAsia="仿宋_GB2312"/>
        </w:rPr>
        <w:t>八、政府性基金预算财政拨款收入支出决算表</w:t>
      </w:r>
    </w:p>
    <w:p>
      <w:pPr>
        <w:spacing w:line="580" w:lineRule="exact"/>
        <w:ind w:firstLine="316" w:firstLineChars="100"/>
        <w:rPr>
          <w:rFonts w:ascii="黑体" w:hAnsi="黑体" w:eastAsia="黑体"/>
        </w:rPr>
      </w:pPr>
      <w:r>
        <w:rPr>
          <w:rFonts w:hint="eastAsia" w:ascii="黑体" w:hAnsi="黑体" w:eastAsia="黑体"/>
        </w:rPr>
        <w:t>第三部分  2019年度部门决算情况说明</w:t>
      </w:r>
    </w:p>
    <w:p>
      <w:pPr>
        <w:spacing w:line="580" w:lineRule="exact"/>
        <w:ind w:firstLine="632" w:firstLineChars="200"/>
        <w:rPr>
          <w:rFonts w:ascii="仿宋_GB2312" w:eastAsia="仿宋_GB2312"/>
        </w:rPr>
      </w:pPr>
      <w:r>
        <w:rPr>
          <w:rFonts w:hint="eastAsia" w:ascii="仿宋_GB2312" w:eastAsia="仿宋_GB2312"/>
        </w:rPr>
        <w:t>一、收入支出决算总体情况说明</w:t>
      </w:r>
    </w:p>
    <w:p>
      <w:pPr>
        <w:spacing w:line="580" w:lineRule="exact"/>
        <w:ind w:firstLine="632" w:firstLineChars="200"/>
        <w:rPr>
          <w:rFonts w:ascii="仿宋_GB2312" w:eastAsia="仿宋_GB2312"/>
        </w:rPr>
      </w:pPr>
      <w:r>
        <w:rPr>
          <w:rFonts w:hint="eastAsia" w:ascii="仿宋_GB2312" w:eastAsia="仿宋_GB2312"/>
        </w:rPr>
        <w:t>二、收入决算情况说明</w:t>
      </w:r>
    </w:p>
    <w:p>
      <w:pPr>
        <w:spacing w:line="580" w:lineRule="exact"/>
        <w:ind w:firstLine="632" w:firstLineChars="200"/>
        <w:rPr>
          <w:rFonts w:ascii="仿宋_GB2312" w:eastAsia="仿宋_GB2312"/>
        </w:rPr>
      </w:pPr>
      <w:r>
        <w:rPr>
          <w:rFonts w:hint="eastAsia" w:ascii="仿宋_GB2312" w:eastAsia="仿宋_GB2312"/>
        </w:rPr>
        <w:t>三、支出决算情况说明</w:t>
      </w:r>
    </w:p>
    <w:p>
      <w:pPr>
        <w:spacing w:line="580" w:lineRule="exact"/>
        <w:ind w:firstLine="632" w:firstLineChars="200"/>
        <w:rPr>
          <w:rFonts w:ascii="仿宋_GB2312" w:eastAsia="仿宋_GB2312"/>
        </w:rPr>
      </w:pPr>
      <w:r>
        <w:rPr>
          <w:rFonts w:hint="eastAsia" w:ascii="仿宋_GB2312" w:eastAsia="仿宋_GB2312"/>
        </w:rPr>
        <w:t>四、财政拨款收入支出决算总体情况说明</w:t>
      </w:r>
    </w:p>
    <w:p>
      <w:pPr>
        <w:spacing w:line="580" w:lineRule="exact"/>
        <w:ind w:firstLine="632" w:firstLineChars="200"/>
        <w:rPr>
          <w:rFonts w:ascii="仿宋_GB2312" w:eastAsia="仿宋_GB2312"/>
        </w:rPr>
      </w:pPr>
      <w:r>
        <w:rPr>
          <w:rFonts w:hint="eastAsia" w:ascii="仿宋_GB2312" w:eastAsia="仿宋_GB2312"/>
        </w:rPr>
        <w:t>五、一般公共预算财政拨款支出决算情况说明</w:t>
      </w:r>
    </w:p>
    <w:p>
      <w:pPr>
        <w:spacing w:line="580" w:lineRule="exact"/>
        <w:ind w:firstLine="632" w:firstLineChars="200"/>
        <w:rPr>
          <w:rFonts w:ascii="仿宋_GB2312" w:eastAsia="仿宋_GB2312"/>
        </w:rPr>
      </w:pPr>
      <w:r>
        <w:rPr>
          <w:rFonts w:hint="eastAsia" w:ascii="仿宋_GB2312" w:eastAsia="仿宋_GB2312"/>
        </w:rPr>
        <w:t>六、一般公共预算财政拨款基本支出决算情况说明</w:t>
      </w:r>
    </w:p>
    <w:p>
      <w:pPr>
        <w:spacing w:line="580" w:lineRule="exact"/>
        <w:ind w:firstLine="632" w:firstLineChars="200"/>
        <w:rPr>
          <w:rFonts w:ascii="仿宋_GB2312" w:eastAsia="仿宋_GB2312"/>
        </w:rPr>
      </w:pPr>
      <w:r>
        <w:rPr>
          <w:rFonts w:hint="eastAsia" w:ascii="仿宋_GB2312" w:eastAsia="仿宋_GB2312"/>
        </w:rPr>
        <w:t>七、一般公共预算财政拨款“三公”经费支出决算情况说明</w:t>
      </w:r>
    </w:p>
    <w:p>
      <w:pPr>
        <w:spacing w:line="580" w:lineRule="exact"/>
        <w:ind w:firstLine="632" w:firstLineChars="200"/>
        <w:rPr>
          <w:rFonts w:ascii="仿宋_GB2312" w:eastAsia="仿宋_GB2312"/>
        </w:rPr>
      </w:pPr>
      <w:r>
        <w:rPr>
          <w:rFonts w:hint="eastAsia" w:ascii="仿宋_GB2312" w:eastAsia="仿宋_GB2312"/>
        </w:rPr>
        <w:t>八、政府性基金预算财政拨款收入支出决算情况说明</w:t>
      </w:r>
    </w:p>
    <w:p>
      <w:pPr>
        <w:spacing w:line="580" w:lineRule="exact"/>
        <w:ind w:firstLine="632" w:firstLineChars="200"/>
        <w:rPr>
          <w:rFonts w:ascii="仿宋_GB2312" w:eastAsia="仿宋_GB2312"/>
        </w:rPr>
      </w:pPr>
      <w:r>
        <w:rPr>
          <w:rFonts w:hint="eastAsia" w:ascii="仿宋_GB2312" w:eastAsia="仿宋_GB2312"/>
        </w:rPr>
        <w:t>九、重要事项情况说明</w:t>
      </w:r>
    </w:p>
    <w:p>
      <w:pPr>
        <w:spacing w:line="580" w:lineRule="exact"/>
        <w:ind w:firstLine="316" w:firstLineChars="100"/>
        <w:rPr>
          <w:rFonts w:ascii="黑体" w:hAnsi="黑体" w:eastAsia="黑体"/>
        </w:rPr>
      </w:pPr>
      <w:r>
        <w:rPr>
          <w:rFonts w:hint="eastAsia" w:ascii="黑体" w:hAnsi="黑体" w:eastAsia="黑体"/>
        </w:rPr>
        <w:t>第四部分  名词解释</w:t>
      </w:r>
    </w:p>
    <w:p>
      <w:pPr>
        <w:spacing w:line="580" w:lineRule="exact"/>
        <w:ind w:firstLine="316" w:firstLineChars="100"/>
        <w:rPr>
          <w:rFonts w:ascii="黑体" w:hAnsi="黑体" w:eastAsia="黑体"/>
        </w:rPr>
      </w:pPr>
      <w:r>
        <w:rPr>
          <w:rFonts w:hint="eastAsia" w:ascii="黑体" w:hAnsi="黑体" w:eastAsia="黑体"/>
        </w:rPr>
        <w:t xml:space="preserve">第五部分  附件  </w:t>
      </w:r>
    </w:p>
    <w:p>
      <w:pPr>
        <w:spacing w:line="580" w:lineRule="exact"/>
        <w:ind w:firstLine="316" w:firstLineChars="100"/>
        <w:rPr>
          <w:rFonts w:ascii="黑体" w:hAnsi="黑体" w:eastAsia="黑体"/>
        </w:rPr>
      </w:pPr>
    </w:p>
    <w:p>
      <w:pPr>
        <w:spacing w:line="580" w:lineRule="exact"/>
        <w:ind w:firstLine="316" w:firstLineChars="100"/>
        <w:rPr>
          <w:rFonts w:ascii="黑体" w:hAnsi="黑体" w:eastAsia="黑体"/>
        </w:rPr>
      </w:pPr>
    </w:p>
    <w:p>
      <w:pPr>
        <w:spacing w:line="580" w:lineRule="exact"/>
        <w:ind w:firstLine="316" w:firstLineChars="100"/>
        <w:rPr>
          <w:rFonts w:ascii="黑体" w:hAnsi="黑体" w:eastAsia="黑体"/>
        </w:rPr>
      </w:pPr>
    </w:p>
    <w:p>
      <w:pPr>
        <w:ind w:firstLine="632" w:firstLineChars="200"/>
        <w:rPr>
          <w:rFonts w:ascii="仿宋_GB2312" w:eastAsia="仿宋_GB2312"/>
        </w:rPr>
      </w:pPr>
    </w:p>
    <w:p>
      <w:pPr>
        <w:spacing w:line="580" w:lineRule="exact"/>
        <w:ind w:firstLine="316" w:firstLineChars="100"/>
        <w:rPr>
          <w:rFonts w:ascii="仿宋_GB2312" w:eastAsia="仿宋_GB2312"/>
        </w:rPr>
        <w:sectPr>
          <w:headerReference r:id="rId3" w:type="default"/>
          <w:footerReference r:id="rId4" w:type="default"/>
          <w:footerReference r:id="rId5" w:type="even"/>
          <w:pgSz w:w="11906" w:h="16838"/>
          <w:pgMar w:top="2041" w:right="1531" w:bottom="1758" w:left="1531" w:header="0" w:footer="1418" w:gutter="0"/>
          <w:cols w:space="720" w:num="1"/>
          <w:docGrid w:type="linesAndChars" w:linePitch="610" w:charSpace="-849"/>
        </w:sectPr>
      </w:pPr>
    </w:p>
    <w:p>
      <w:pPr>
        <w:jc w:val="center"/>
        <w:rPr>
          <w:rFonts w:ascii="方正小标宋简体" w:eastAsia="方正小标宋简体"/>
          <w:sz w:val="42"/>
        </w:rPr>
      </w:pPr>
    </w:p>
    <w:p>
      <w:pPr>
        <w:jc w:val="center"/>
        <w:rPr>
          <w:rFonts w:ascii="方正小标宋简体" w:eastAsia="方正小标宋简体"/>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第一部分</w:t>
      </w:r>
    </w:p>
    <w:p>
      <w:pPr>
        <w:jc w:val="center"/>
        <w:rPr>
          <w:rFonts w:ascii="方正小标宋简体" w:eastAsia="方正小标宋简体"/>
          <w:spacing w:val="60"/>
          <w:sz w:val="42"/>
        </w:rPr>
      </w:pPr>
    </w:p>
    <w:p>
      <w:pPr>
        <w:jc w:val="center"/>
        <w:rPr>
          <w:rFonts w:ascii="方正小标宋简体" w:eastAsia="方正小标宋简体"/>
          <w:spacing w:val="60"/>
          <w:sz w:val="48"/>
        </w:rPr>
      </w:pPr>
      <w:r>
        <w:rPr>
          <w:rFonts w:hint="eastAsia" w:ascii="方正小标宋简体" w:eastAsia="方正小标宋简体"/>
          <w:spacing w:val="60"/>
          <w:sz w:val="48"/>
        </w:rPr>
        <w:t>部门概况</w:t>
      </w:r>
    </w:p>
    <w:p>
      <w:pPr>
        <w:jc w:val="center"/>
        <w:rPr>
          <w:rFonts w:ascii="仿宋_GB2312" w:eastAsia="仿宋_GB2312"/>
        </w:rPr>
        <w:sectPr>
          <w:pgSz w:w="11906" w:h="16838"/>
          <w:pgMar w:top="1701" w:right="1531" w:bottom="1701" w:left="1531" w:header="0" w:footer="1418" w:gutter="0"/>
          <w:cols w:space="720" w:num="1"/>
          <w:docGrid w:type="linesAndChars" w:linePitch="610" w:charSpace="-849"/>
        </w:sectPr>
      </w:pPr>
    </w:p>
    <w:p>
      <w:pPr>
        <w:ind w:firstLine="632" w:firstLineChars="200"/>
        <w:rPr>
          <w:rFonts w:ascii="黑体" w:hAnsi="黑体" w:eastAsia="黑体"/>
        </w:rPr>
      </w:pPr>
      <w:r>
        <w:rPr>
          <w:rFonts w:hint="eastAsia" w:ascii="黑体" w:hAnsi="黑体" w:eastAsia="黑体"/>
        </w:rPr>
        <w:t>一、部门职责</w:t>
      </w:r>
    </w:p>
    <w:p>
      <w:pPr>
        <w:ind w:firstLine="632" w:firstLineChars="200"/>
        <w:rPr>
          <w:rFonts w:ascii="仿宋_GB2312" w:eastAsia="仿宋_GB2312"/>
        </w:rPr>
      </w:pPr>
      <w:r>
        <w:rPr>
          <w:rFonts w:hint="eastAsia" w:ascii="仿宋_GB2312" w:eastAsia="仿宋_GB2312"/>
        </w:rPr>
        <w:t>（一）负责应急管理工作，指导全市应对安全生产类、自然灾害类等突发事件和综合防灾减灾救灾工作。负责安全生产综合监督管理和工矿商贸行业（煤矿除外，下同）安全生产监督管理工作。</w:t>
      </w:r>
    </w:p>
    <w:p>
      <w:pPr>
        <w:ind w:firstLine="632" w:firstLineChars="200"/>
        <w:rPr>
          <w:rFonts w:ascii="仿宋_GB2312" w:eastAsia="仿宋_GB2312"/>
        </w:rPr>
      </w:pPr>
      <w:r>
        <w:rPr>
          <w:rFonts w:hint="eastAsia" w:ascii="仿宋_GB2312" w:eastAsia="仿宋_GB2312"/>
        </w:rPr>
        <w:t>（二）贯彻执行应急管理、安全生产、防灾减灾救灾有关法律法规和方针政策。组织编制全市安全生产和综合防灾减灾、应急体系建设规划，起草相关地方性法规、政府规章草案，组织落实应急管理、安全生产国家标准、行业标准以及地方标准和规程，并监督实施。指导、监督全市应急管理行政执法工作。</w:t>
      </w:r>
    </w:p>
    <w:p>
      <w:pPr>
        <w:ind w:firstLine="632" w:firstLineChars="200"/>
        <w:rPr>
          <w:rFonts w:ascii="仿宋_GB2312" w:eastAsia="仿宋_GB2312"/>
        </w:rPr>
      </w:pPr>
      <w:r>
        <w:rPr>
          <w:rFonts w:hint="eastAsia" w:ascii="仿宋_GB2312" w:eastAsia="仿宋_GB2312"/>
        </w:rPr>
        <w:t>（三）指导应急预案体系建设，建立完善全市事故灾难和自然灾害分级应对制度。组织编制全市总体应急预案和安全生产类、自然灾害类专项预案，综合协调应急预案衔接工作，组织开展预案演练，推动应急避难设施建设。</w:t>
      </w:r>
    </w:p>
    <w:p>
      <w:pPr>
        <w:ind w:firstLine="632" w:firstLineChars="200"/>
        <w:rPr>
          <w:rFonts w:ascii="仿宋_GB2312" w:eastAsia="仿宋_GB2312"/>
        </w:rPr>
      </w:pPr>
      <w:r>
        <w:rPr>
          <w:rFonts w:hint="eastAsia" w:ascii="仿宋_GB2312" w:eastAsia="仿宋_GB2312"/>
        </w:rPr>
        <w:t>（四）牵头建立全市统一的应急管理信息系统，负责全市信息传输渠道的规划、布局和建设。建立监测预警和灾情报告制度，健全自然灾害信息资源获取和共享机制，依法统一发布灾情。</w:t>
      </w:r>
    </w:p>
    <w:p>
      <w:pPr>
        <w:ind w:firstLine="632" w:firstLineChars="200"/>
        <w:rPr>
          <w:rFonts w:ascii="仿宋_GB2312" w:eastAsia="仿宋_GB2312"/>
        </w:rPr>
      </w:pPr>
      <w:r>
        <w:rPr>
          <w:rFonts w:hint="eastAsia" w:ascii="仿宋_GB2312" w:eastAsia="仿宋_GB2312"/>
        </w:rPr>
        <w:t>（五）组织指导协调全市安全生产类、自然灾害类等突发事件应急救援。综合研判突发事件发展态势并提出应对建议，协助市委、市政府指定的负责同志组织灾害应急处置工作。</w:t>
      </w:r>
    </w:p>
    <w:p>
      <w:pPr>
        <w:ind w:firstLine="632" w:firstLineChars="200"/>
        <w:rPr>
          <w:rFonts w:ascii="仿宋_GB2312" w:eastAsia="仿宋_GB2312"/>
        </w:rPr>
      </w:pPr>
      <w:r>
        <w:rPr>
          <w:rFonts w:hint="eastAsia" w:ascii="仿宋_GB2312" w:eastAsia="仿宋_GB2312"/>
          <w:lang w:eastAsia="zh-CN"/>
        </w:rPr>
        <w:t>（</w:t>
      </w:r>
      <w:r>
        <w:rPr>
          <w:rFonts w:hint="eastAsia" w:ascii="仿宋_GB2312" w:eastAsia="仿宋_GB2312"/>
        </w:rPr>
        <w:t>六）统一协调指挥全市应急救援队伍，建立应急协调联动机制。推进指挥平台对接，衔接解放军和武警部队参与应急救援工作。</w:t>
      </w:r>
    </w:p>
    <w:p>
      <w:pPr>
        <w:ind w:firstLine="632" w:firstLineChars="200"/>
        <w:rPr>
          <w:rFonts w:ascii="仿宋_GB2312" w:eastAsia="仿宋_GB2312"/>
        </w:rPr>
      </w:pPr>
      <w:r>
        <w:rPr>
          <w:rFonts w:hint="eastAsia" w:ascii="仿宋_GB2312" w:eastAsia="仿宋_GB2312"/>
        </w:rPr>
        <w:t>（七）统筹应急救援力量建设，负责市级专业应急救援力量建设和管理，指导县乡专业应急救援力量以及全市社会应急救援力量建设。</w:t>
      </w:r>
    </w:p>
    <w:p>
      <w:pPr>
        <w:ind w:firstLine="632" w:firstLineChars="200"/>
        <w:rPr>
          <w:rFonts w:ascii="仿宋_GB2312" w:eastAsia="仿宋_GB2312"/>
        </w:rPr>
      </w:pPr>
      <w:r>
        <w:rPr>
          <w:rFonts w:hint="eastAsia" w:ascii="仿宋_GB2312" w:eastAsia="仿宋_GB2312"/>
        </w:rPr>
        <w:t>（八）负责消防工作，指导县乡消防监督、火灾预防、火灾扑救等工作。</w:t>
      </w:r>
    </w:p>
    <w:p>
      <w:pPr>
        <w:ind w:firstLine="632" w:firstLineChars="200"/>
        <w:rPr>
          <w:rFonts w:ascii="仿宋_GB2312" w:eastAsia="仿宋_GB2312"/>
        </w:rPr>
      </w:pPr>
      <w:r>
        <w:rPr>
          <w:rFonts w:hint="eastAsia" w:ascii="仿宋_GB2312" w:eastAsia="仿宋_GB2312"/>
        </w:rPr>
        <w:t>（九）指导协调森林和草原（地）火灾、水旱灾害、地震和地质灾害等防治工作，负责自然灾害综合监测预警工作，指导开展自然灾害综合风险评估工作。</w:t>
      </w:r>
    </w:p>
    <w:p>
      <w:pPr>
        <w:ind w:firstLine="632" w:firstLineChars="200"/>
        <w:rPr>
          <w:rFonts w:ascii="仿宋_GB2312" w:eastAsia="仿宋_GB2312"/>
        </w:rPr>
      </w:pPr>
      <w:r>
        <w:rPr>
          <w:rFonts w:hint="eastAsia" w:ascii="仿宋_GB2312" w:eastAsia="仿宋_GB2312"/>
        </w:rPr>
        <w:t>（十）组织协调灾害救助工作，组织指导灾情核查、损失评估、救灾捐赠工作，下达指令调拨救灾储备物资，管理、分配各类救灾款物并监督使用。组织开展自然灾害类突发事件的调查评估工作。</w:t>
      </w:r>
    </w:p>
    <w:p>
      <w:pPr>
        <w:ind w:firstLine="632" w:firstLineChars="200"/>
        <w:rPr>
          <w:rFonts w:ascii="仿宋_GB2312" w:eastAsia="仿宋_GB2312"/>
        </w:rPr>
      </w:pPr>
      <w:r>
        <w:rPr>
          <w:rFonts w:hint="eastAsia" w:ascii="仿宋_GB2312" w:eastAsia="仿宋_GB2312"/>
        </w:rPr>
        <w:t>（十一）贯彻执行国家、省制定的防震减灾工作法律、法规和方针政策规定。编制并组织实施本市防震减灾事业中长期发展规划。承担本市地震烈度区划、震害预测和重要城镇、重大工程以及有严重次生灾害工程建设场地地震安全性评价监督管理职责。组织实施地震灾害损失评估，制定地震灾区重建计划。</w:t>
      </w:r>
    </w:p>
    <w:p>
      <w:pPr>
        <w:ind w:firstLine="632" w:firstLineChars="200"/>
        <w:rPr>
          <w:rFonts w:ascii="仿宋_GB2312" w:eastAsia="仿宋_GB2312"/>
        </w:rPr>
      </w:pPr>
      <w:r>
        <w:rPr>
          <w:rFonts w:ascii="仿宋_GB2312" w:eastAsia="仿宋_GB2312"/>
        </w:rPr>
        <w:t>（十二）依法行使安全生产综合监督管理职权，指导协调、监督检查市政府有关部门和各县(市、区)政府安全生产工作，组织开展全市安全生产巡查、考核工作。受市政府委托或授权，依法组织事故调查处理工作。监督检查事故防范和整改措施的落实情况。参与事故责任追究落实情况的监督检查。负责全市应急管理、安全生产、防灾减灾的统计分析工作，通报有关情况。</w:t>
      </w:r>
    </w:p>
    <w:p>
      <w:pPr>
        <w:ind w:firstLine="632" w:firstLineChars="200"/>
        <w:rPr>
          <w:rFonts w:ascii="仿宋_GB2312" w:eastAsia="仿宋_GB2312"/>
        </w:rPr>
      </w:pPr>
      <w:r>
        <w:rPr>
          <w:rFonts w:ascii="仿宋_GB2312" w:eastAsia="仿宋_GB2312"/>
        </w:rPr>
        <w:t>（十三）按照分级、属地原则，依法监督检查工矿商贸生产经营单位贯彻执行安全生产法律法规情况及其安全生产条件和有关设备(特种设备除外)、材料、劳动防护用品的安全生产管理工作。监督检查重大危险源监控和重大事故隐患排查治理工作，依法查处不具备安全生产条件的工矿商贸生产经营单位。负责监督管理市管工矿商贸企业安全生产工作，指导监督中央和省属（管）驻济工矿商贸行业企业安全生产工作。</w:t>
      </w:r>
    </w:p>
    <w:p>
      <w:pPr>
        <w:ind w:firstLine="632" w:firstLineChars="200"/>
        <w:rPr>
          <w:rFonts w:ascii="仿宋_GB2312" w:eastAsia="仿宋_GB2312"/>
        </w:rPr>
      </w:pPr>
      <w:r>
        <w:rPr>
          <w:rFonts w:ascii="仿宋_GB2312" w:eastAsia="仿宋_GB2312"/>
        </w:rPr>
        <w:t>（十四）负责全市非煤矿矿山企业和危险化学品、烟花爆竹生产企业安全生产准入管理工作，依法组织并指导监督实施安全生产准入制度。负责危险化学品安全监督管理综合工作和烟花爆竹安全生产监督管理工作。负责监督检查职责范围内新建、改建、扩建工程项目的安全设施与主体工程同时设计、同时施工、同时投产使用情况。</w:t>
      </w:r>
    </w:p>
    <w:p>
      <w:pPr>
        <w:ind w:firstLine="632" w:firstLineChars="200"/>
        <w:rPr>
          <w:rFonts w:ascii="仿宋_GB2312" w:eastAsia="仿宋_GB2312"/>
        </w:rPr>
      </w:pPr>
      <w:r>
        <w:rPr>
          <w:rFonts w:ascii="仿宋_GB2312" w:eastAsia="仿宋_GB2312"/>
        </w:rPr>
        <w:t>（十五）指导协调全市安全生产检测检验工作，监督管理应急管理类、安全生产类社会中介机构和安全评价工作。负责实施注册安全工程师职业资格制度有关工作。</w:t>
      </w:r>
    </w:p>
    <w:p>
      <w:pPr>
        <w:ind w:firstLine="632" w:firstLineChars="200"/>
        <w:rPr>
          <w:rFonts w:ascii="仿宋_GB2312" w:eastAsia="仿宋_GB2312"/>
        </w:rPr>
      </w:pPr>
      <w:r>
        <w:rPr>
          <w:rFonts w:ascii="仿宋_GB2312" w:eastAsia="仿宋_GB2312"/>
        </w:rPr>
        <w:t>（十六）会同有关部门制定应急物资储备和应急救援装备规划，建立健全应急物资信息平台和调拨制度，在救灾时统一调度，保障救灾工作。</w:t>
      </w:r>
    </w:p>
    <w:p>
      <w:pPr>
        <w:ind w:firstLine="632" w:firstLineChars="200"/>
        <w:rPr>
          <w:rFonts w:ascii="仿宋_GB2312" w:eastAsia="仿宋_GB2312"/>
        </w:rPr>
      </w:pPr>
      <w:r>
        <w:rPr>
          <w:rFonts w:hint="eastAsia" w:ascii="仿宋_GB2312" w:eastAsia="仿宋_GB2312"/>
        </w:rPr>
        <w:t>（</w:t>
      </w:r>
      <w:r>
        <w:rPr>
          <w:rFonts w:ascii="仿宋_GB2312" w:eastAsia="仿宋_GB2312"/>
        </w:rPr>
        <w:t>十七）负责全市应急管理、安全生产宣传教育和培训工作，组织指导应急管理、安全生产的科学技术研究、推广应用和信息化建设工作。开展对外交流与合作。</w:t>
      </w:r>
    </w:p>
    <w:p>
      <w:pPr>
        <w:ind w:firstLine="632" w:firstLineChars="200"/>
        <w:rPr>
          <w:rFonts w:ascii="仿宋_GB2312" w:eastAsia="仿宋_GB2312"/>
        </w:rPr>
      </w:pPr>
      <w:r>
        <w:rPr>
          <w:rFonts w:ascii="仿宋_GB2312" w:eastAsia="仿宋_GB2312"/>
        </w:rPr>
        <w:t>（十八）承担防汛抗旱、抗震救灾、森林防火相关指挥部日常工作，承担市委、市政府安全生产委员会日常工作。贯彻落实全面从严治党要求，切实履行机关党建工作、党风廉政建设和意识形态主体责任，全面推进党的政治建设、思想建设、组织建设、作风建设、纪律建设，把制度建设贯穿其中，领导所属单位抓好党的建设工作。</w:t>
      </w:r>
    </w:p>
    <w:p>
      <w:pPr>
        <w:ind w:firstLine="632" w:firstLineChars="200"/>
        <w:rPr>
          <w:rFonts w:ascii="仿宋_GB2312" w:eastAsia="仿宋_GB2312"/>
        </w:rPr>
      </w:pPr>
      <w:r>
        <w:rPr>
          <w:rFonts w:ascii="仿宋_GB2312" w:eastAsia="仿宋_GB2312"/>
        </w:rPr>
        <w:t>完成市委、市政府交办的其他任务。</w:t>
      </w:r>
    </w:p>
    <w:p>
      <w:pPr>
        <w:ind w:firstLine="632" w:firstLineChars="200"/>
        <w:rPr>
          <w:rFonts w:ascii="黑体" w:hAnsi="黑体" w:eastAsia="黑体"/>
        </w:rPr>
      </w:pPr>
      <w:r>
        <w:rPr>
          <w:rFonts w:hint="eastAsia" w:ascii="黑体" w:hAnsi="黑体" w:eastAsia="黑体"/>
        </w:rPr>
        <w:t>二、机构设置</w:t>
      </w:r>
    </w:p>
    <w:p>
      <w:pPr>
        <w:ind w:firstLine="632" w:firstLineChars="200"/>
        <w:rPr>
          <w:rFonts w:ascii="仿宋_GB2312" w:eastAsia="仿宋_GB2312"/>
        </w:rPr>
      </w:pPr>
      <w:r>
        <w:rPr>
          <w:rFonts w:hint="eastAsia" w:ascii="仿宋_GB2312" w:eastAsia="仿宋_GB2312"/>
        </w:rPr>
        <w:t>从决算单位构成看，市应急管理局部门决算包括：局本级决算、局属事业单位决算。</w:t>
      </w:r>
    </w:p>
    <w:p>
      <w:pPr>
        <w:ind w:firstLine="632" w:firstLineChars="200"/>
        <w:rPr>
          <w:rFonts w:ascii="仿宋_GB2312" w:eastAsia="仿宋_GB2312"/>
        </w:rPr>
      </w:pPr>
      <w:r>
        <w:rPr>
          <w:rFonts w:hint="eastAsia" w:ascii="仿宋_GB2312" w:eastAsia="仿宋_GB2312"/>
        </w:rPr>
        <w:t>纳入市应急管理局2019年度部门决算编制范围的预算单位4个，包括：</w:t>
      </w:r>
    </w:p>
    <w:p>
      <w:pPr>
        <w:numPr>
          <w:ilvl w:val="0"/>
          <w:numId w:val="1"/>
        </w:numPr>
        <w:ind w:firstLine="632" w:firstLineChars="200"/>
        <w:rPr>
          <w:rFonts w:ascii="仿宋_GB2312" w:eastAsia="仿宋_GB2312"/>
        </w:rPr>
      </w:pPr>
      <w:r>
        <w:rPr>
          <w:rFonts w:hint="eastAsia" w:ascii="仿宋_GB2312" w:eastAsia="仿宋_GB2312"/>
        </w:rPr>
        <w:t>济宁市应急管理局本级</w:t>
      </w:r>
    </w:p>
    <w:p>
      <w:pPr>
        <w:numPr>
          <w:ilvl w:val="0"/>
          <w:numId w:val="1"/>
        </w:numPr>
        <w:ind w:firstLine="632" w:firstLineChars="200"/>
        <w:rPr>
          <w:rFonts w:ascii="仿宋_GB2312" w:eastAsia="仿宋_GB2312"/>
        </w:rPr>
      </w:pPr>
      <w:r>
        <w:rPr>
          <w:rFonts w:hint="eastAsia" w:ascii="仿宋_GB2312" w:eastAsia="仿宋_GB2312"/>
        </w:rPr>
        <w:t>济宁市应急管理综合执法支队</w:t>
      </w:r>
    </w:p>
    <w:p>
      <w:pPr>
        <w:numPr>
          <w:ilvl w:val="0"/>
          <w:numId w:val="1"/>
        </w:numPr>
        <w:ind w:firstLine="632" w:firstLineChars="200"/>
        <w:rPr>
          <w:rFonts w:ascii="仿宋_GB2312" w:eastAsia="仿宋_GB2312"/>
        </w:rPr>
      </w:pPr>
      <w:r>
        <w:rPr>
          <w:rFonts w:hint="eastAsia" w:ascii="仿宋_GB2312" w:eastAsia="仿宋_GB2312"/>
        </w:rPr>
        <w:t>济宁市应急保障服务中心</w:t>
      </w:r>
    </w:p>
    <w:p>
      <w:pPr>
        <w:numPr>
          <w:ilvl w:val="0"/>
          <w:numId w:val="1"/>
        </w:numPr>
        <w:ind w:firstLine="632" w:firstLineChars="200"/>
        <w:rPr>
          <w:rFonts w:ascii="仿宋_GB2312" w:eastAsia="仿宋_GB2312"/>
        </w:rPr>
      </w:pPr>
      <w:r>
        <w:rPr>
          <w:rFonts w:hint="eastAsia" w:ascii="仿宋_GB2312" w:eastAsia="仿宋_GB2312"/>
        </w:rPr>
        <w:t>济宁市安全生产技术服务中心</w:t>
      </w:r>
    </w:p>
    <w:p>
      <w:pPr>
        <w:ind w:firstLine="632" w:firstLineChars="200"/>
        <w:rPr>
          <w:rFonts w:ascii="仿宋_GB2312" w:eastAsia="仿宋_GB2312"/>
        </w:rPr>
        <w:sectPr>
          <w:pgSz w:w="11906" w:h="16838"/>
          <w:pgMar w:top="1701" w:right="1531" w:bottom="1701" w:left="1531" w:header="0" w:footer="1418" w:gutter="0"/>
          <w:cols w:space="720" w:num="1"/>
          <w:docGrid w:type="linesAndChars" w:linePitch="610" w:charSpace="-849"/>
        </w:sectPr>
      </w:pPr>
    </w:p>
    <w:p>
      <w:pPr>
        <w:jc w:val="center"/>
        <w:rPr>
          <w:rFonts w:ascii="方正小标宋简体" w:eastAsia="方正小标宋简体"/>
          <w:sz w:val="42"/>
        </w:rPr>
      </w:pPr>
    </w:p>
    <w:p>
      <w:pPr>
        <w:jc w:val="center"/>
        <w:rPr>
          <w:rFonts w:ascii="方正小标宋简体" w:eastAsia="方正小标宋简体"/>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第二部分</w:t>
      </w:r>
    </w:p>
    <w:p>
      <w:pPr>
        <w:jc w:val="center"/>
        <w:rPr>
          <w:rFonts w:ascii="方正小标宋简体" w:eastAsia="方正小标宋简体"/>
          <w:spacing w:val="60"/>
          <w:sz w:val="42"/>
        </w:rPr>
      </w:pPr>
    </w:p>
    <w:p>
      <w:pPr>
        <w:jc w:val="center"/>
        <w:rPr>
          <w:rFonts w:ascii="方正小标宋简体" w:eastAsia="方正小标宋简体"/>
          <w:spacing w:val="60"/>
          <w:sz w:val="42"/>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2019年度部门决算表</w:t>
      </w:r>
    </w:p>
    <w:p>
      <w:pPr>
        <w:jc w:val="center"/>
        <w:rPr>
          <w:rFonts w:ascii="方正小标宋简体" w:eastAsia="方正小标宋简体"/>
          <w:sz w:val="44"/>
          <w:szCs w:val="44"/>
        </w:rPr>
      </w:pPr>
      <w:r>
        <w:rPr>
          <w:rFonts w:hint="eastAsia" w:ascii="方正小标宋简体" w:eastAsia="方正小标宋简体"/>
          <w:sz w:val="44"/>
          <w:szCs w:val="44"/>
        </w:rPr>
        <w:t>收入支出决算总表</w:t>
      </w:r>
    </w:p>
    <w:p>
      <w:pPr>
        <w:wordWrap w:val="0"/>
        <w:spacing w:line="400" w:lineRule="exact"/>
        <w:jc w:val="right"/>
        <w:rPr>
          <w:rFonts w:ascii="楷体_GB2312" w:eastAsia="楷体_GB2312"/>
          <w:sz w:val="28"/>
          <w:szCs w:val="28"/>
        </w:rPr>
      </w:pPr>
      <w:r>
        <w:rPr>
          <w:rFonts w:hint="eastAsia" w:ascii="楷体_GB2312" w:eastAsia="楷体_GB2312"/>
          <w:sz w:val="28"/>
          <w:szCs w:val="28"/>
        </w:rPr>
        <w:t xml:space="preserve"> 公开01表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部门：济宁市应急管理局                            </w:t>
      </w:r>
      <w:r>
        <w:rPr>
          <w:rFonts w:ascii="楷体_GB2312" w:eastAsia="楷体_GB2312"/>
          <w:sz w:val="28"/>
          <w:szCs w:val="28"/>
        </w:rPr>
        <w:t xml:space="preserve">   </w:t>
      </w:r>
      <w:r>
        <w:rPr>
          <w:rFonts w:hint="eastAsia" w:ascii="楷体_GB2312" w:eastAsia="楷体_GB2312"/>
          <w:sz w:val="28"/>
          <w:szCs w:val="28"/>
        </w:rPr>
        <w:t xml:space="preserve"> 单位：万元</w:t>
      </w:r>
    </w:p>
    <w:tbl>
      <w:tblPr>
        <w:tblStyle w:val="4"/>
        <w:tblW w:w="9535" w:type="dxa"/>
        <w:jc w:val="center"/>
        <w:tblInd w:w="0" w:type="dxa"/>
        <w:tblLayout w:type="fixed"/>
        <w:tblCellMar>
          <w:top w:w="0" w:type="dxa"/>
          <w:left w:w="108" w:type="dxa"/>
          <w:bottom w:w="0" w:type="dxa"/>
          <w:right w:w="108" w:type="dxa"/>
        </w:tblCellMar>
      </w:tblPr>
      <w:tblGrid>
        <w:gridCol w:w="2879"/>
        <w:gridCol w:w="714"/>
        <w:gridCol w:w="1195"/>
        <w:gridCol w:w="2680"/>
        <w:gridCol w:w="770"/>
        <w:gridCol w:w="1297"/>
      </w:tblGrid>
      <w:tr>
        <w:tblPrEx>
          <w:tblLayout w:type="fixed"/>
          <w:tblCellMar>
            <w:top w:w="0" w:type="dxa"/>
            <w:left w:w="108" w:type="dxa"/>
            <w:bottom w:w="0" w:type="dxa"/>
            <w:right w:w="108" w:type="dxa"/>
          </w:tblCellMar>
        </w:tblPrEx>
        <w:trPr>
          <w:trHeight w:val="850" w:hRule="exact"/>
          <w:jc w:val="center"/>
        </w:trPr>
        <w:tc>
          <w:tcPr>
            <w:tcW w:w="4788"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收 入</w:t>
            </w:r>
          </w:p>
        </w:tc>
        <w:tc>
          <w:tcPr>
            <w:tcW w:w="4747" w:type="dxa"/>
            <w:gridSpan w:val="3"/>
            <w:tcBorders>
              <w:top w:val="single" w:color="auto" w:sz="4" w:space="0"/>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支 出</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项 目</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行次</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决算数</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项目（按功能分类）</w:t>
            </w:r>
          </w:p>
        </w:tc>
        <w:tc>
          <w:tcPr>
            <w:tcW w:w="770"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24"/>
              </w:rPr>
            </w:pPr>
            <w:r>
              <w:rPr>
                <w:rFonts w:hint="eastAsia" w:ascii="仿宋_GB2312" w:eastAsia="仿宋_GB2312"/>
                <w:sz w:val="24"/>
              </w:rPr>
              <w:t>行次</w:t>
            </w:r>
          </w:p>
        </w:tc>
        <w:tc>
          <w:tcPr>
            <w:tcW w:w="129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决算数</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栏 次</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栏 次</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2</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left"/>
              <w:rPr>
                <w:rFonts w:ascii="仿宋_GB2312" w:eastAsia="仿宋_GB2312"/>
                <w:sz w:val="24"/>
              </w:rPr>
            </w:pPr>
            <w:r>
              <w:rPr>
                <w:rFonts w:hint="eastAsia" w:ascii="仿宋_GB2312" w:eastAsia="仿宋_GB2312"/>
                <w:sz w:val="24"/>
              </w:rPr>
              <w:t>一、一般公共预算财政拨款收入</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2,988.45</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一、一般公共服务支出</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8</w:t>
            </w: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415.97</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left"/>
              <w:rPr>
                <w:rFonts w:ascii="仿宋_GB2312" w:eastAsia="仿宋_GB2312"/>
                <w:sz w:val="24"/>
              </w:rPr>
            </w:pPr>
            <w:r>
              <w:rPr>
                <w:rFonts w:hint="eastAsia" w:ascii="仿宋_GB2312" w:eastAsia="仿宋_GB2312"/>
                <w:sz w:val="24"/>
                <w:lang w:val="en-US" w:eastAsia="zh-CN"/>
              </w:rPr>
              <w:t>二</w:t>
            </w:r>
            <w:r>
              <w:rPr>
                <w:rFonts w:hint="eastAsia" w:ascii="仿宋_GB2312" w:eastAsia="仿宋_GB2312"/>
                <w:sz w:val="24"/>
              </w:rPr>
              <w:t>、其他收入</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2</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20.02</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lang w:val="en-US" w:eastAsia="zh-CN"/>
              </w:rPr>
              <w:t>二</w:t>
            </w:r>
            <w:r>
              <w:rPr>
                <w:rFonts w:hint="eastAsia" w:ascii="仿宋_GB2312" w:eastAsia="仿宋_GB2312"/>
                <w:sz w:val="24"/>
              </w:rPr>
              <w:t>、文化旅游体育与传媒支出</w:t>
            </w:r>
          </w:p>
        </w:tc>
        <w:tc>
          <w:tcPr>
            <w:tcW w:w="770"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24"/>
              </w:rPr>
            </w:pPr>
            <w:r>
              <w:rPr>
                <w:rFonts w:hint="eastAsia" w:ascii="仿宋_GB2312" w:eastAsia="仿宋_GB2312"/>
                <w:sz w:val="24"/>
              </w:rPr>
              <w:t>9</w:t>
            </w:r>
          </w:p>
        </w:tc>
        <w:tc>
          <w:tcPr>
            <w:tcW w:w="129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0.00</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3</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lang w:val="en-US" w:eastAsia="zh-CN"/>
              </w:rPr>
              <w:t>三</w:t>
            </w:r>
            <w:r>
              <w:rPr>
                <w:rFonts w:hint="eastAsia" w:ascii="仿宋_GB2312" w:eastAsia="仿宋_GB2312"/>
                <w:sz w:val="24"/>
              </w:rPr>
              <w:t>、资源勘探信息等支出</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10</w:t>
            </w: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624.67</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4</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lang w:val="en-US" w:eastAsia="zh-CN"/>
              </w:rPr>
              <w:t>四</w:t>
            </w:r>
            <w:r>
              <w:rPr>
                <w:rFonts w:hint="eastAsia" w:ascii="仿宋_GB2312" w:eastAsia="仿宋_GB2312"/>
                <w:sz w:val="24"/>
              </w:rPr>
              <w:t>、灾害防治及应急管理支出</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11</w:t>
            </w: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2,347.11</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本年收入合计</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5</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3008.47</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本年支出合计</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12</w:t>
            </w: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3387.75</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年初结转和结余</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6</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1373.46</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年末结转和结余</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13</w:t>
            </w: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994.19</w:t>
            </w:r>
          </w:p>
        </w:tc>
      </w:tr>
      <w:tr>
        <w:tblPrEx>
          <w:tblLayout w:type="fixed"/>
          <w:tblCellMar>
            <w:top w:w="0" w:type="dxa"/>
            <w:left w:w="108" w:type="dxa"/>
            <w:bottom w:w="0" w:type="dxa"/>
            <w:right w:w="108" w:type="dxa"/>
          </w:tblCellMar>
        </w:tblPrEx>
        <w:trPr>
          <w:trHeight w:val="850" w:hRule="exact"/>
          <w:jc w:val="center"/>
        </w:trPr>
        <w:tc>
          <w:tcPr>
            <w:tcW w:w="2879"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总计</w:t>
            </w:r>
          </w:p>
        </w:tc>
        <w:tc>
          <w:tcPr>
            <w:tcW w:w="714"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7</w:t>
            </w:r>
          </w:p>
        </w:tc>
        <w:tc>
          <w:tcPr>
            <w:tcW w:w="1195"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4381.94</w:t>
            </w:r>
          </w:p>
        </w:tc>
        <w:tc>
          <w:tcPr>
            <w:tcW w:w="268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总计</w:t>
            </w:r>
          </w:p>
        </w:tc>
        <w:tc>
          <w:tcPr>
            <w:tcW w:w="770"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14</w:t>
            </w:r>
          </w:p>
        </w:tc>
        <w:tc>
          <w:tcPr>
            <w:tcW w:w="1297"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24"/>
              </w:rPr>
            </w:pPr>
            <w:r>
              <w:rPr>
                <w:rFonts w:hint="eastAsia" w:ascii="仿宋_GB2312" w:eastAsia="仿宋_GB2312"/>
                <w:sz w:val="24"/>
              </w:rPr>
              <w:t>4381.94</w:t>
            </w:r>
          </w:p>
        </w:tc>
      </w:tr>
    </w:tbl>
    <w:p>
      <w:pPr>
        <w:ind w:firstLine="108" w:firstLineChars="50"/>
        <w:rPr>
          <w:rFonts w:ascii="楷体_GB2312" w:eastAsia="楷体_GB2312"/>
          <w:sz w:val="18"/>
          <w:szCs w:val="18"/>
        </w:rPr>
      </w:pPr>
      <w:r>
        <w:rPr>
          <w:rFonts w:hint="eastAsia" w:ascii="仿宋_GB2312" w:hAnsi="宋体" w:eastAsia="仿宋_GB2312"/>
          <w:sz w:val="22"/>
          <w:szCs w:val="22"/>
        </w:rPr>
        <w:t>注：本表反映部门本年度的总收支和年末结转结余情况。本表金额转化为万元时，因四舍五入可能出现尾差。</w:t>
      </w:r>
    </w:p>
    <w:p>
      <w:pPr>
        <w:rPr>
          <w:rFonts w:ascii="楷体_GB2312" w:eastAsia="楷体_GB2312"/>
          <w:sz w:val="28"/>
          <w:szCs w:val="28"/>
        </w:rPr>
        <w:sectPr>
          <w:pgSz w:w="11906" w:h="16838"/>
          <w:pgMar w:top="1701" w:right="1531" w:bottom="1701" w:left="153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收入决算表</w:t>
      </w:r>
    </w:p>
    <w:p>
      <w:pPr>
        <w:wordWrap w:val="0"/>
        <w:spacing w:line="400" w:lineRule="exact"/>
        <w:jc w:val="right"/>
        <w:rPr>
          <w:rFonts w:ascii="楷体_GB2312" w:eastAsia="楷体_GB2312"/>
          <w:sz w:val="28"/>
          <w:szCs w:val="28"/>
        </w:rPr>
      </w:pPr>
      <w:r>
        <w:rPr>
          <w:rFonts w:hint="eastAsia" w:ascii="楷体_GB2312" w:eastAsia="楷体_GB2312"/>
          <w:sz w:val="28"/>
          <w:szCs w:val="28"/>
        </w:rPr>
        <w:t xml:space="preserve"> 公开02表 </w:t>
      </w:r>
    </w:p>
    <w:p>
      <w:pPr>
        <w:tabs>
          <w:tab w:val="left" w:pos="13467"/>
        </w:tabs>
        <w:wordWrap w:val="0"/>
        <w:spacing w:line="400" w:lineRule="exact"/>
        <w:ind w:right="107"/>
        <w:jc w:val="right"/>
        <w:rPr>
          <w:rFonts w:ascii="楷体_GB2312" w:eastAsia="楷体_GB2312"/>
          <w:sz w:val="28"/>
          <w:szCs w:val="28"/>
        </w:rPr>
      </w:pPr>
      <w:r>
        <w:rPr>
          <w:rFonts w:hint="eastAsia" w:ascii="楷体_GB2312" w:eastAsia="楷体_GB2312"/>
          <w:sz w:val="28"/>
          <w:szCs w:val="28"/>
        </w:rPr>
        <w:t xml:space="preserve">部门：济宁市应急管理局                                          </w:t>
      </w:r>
      <w:r>
        <w:rPr>
          <w:rFonts w:ascii="楷体_GB2312" w:eastAsia="楷体_GB2312"/>
          <w:sz w:val="28"/>
          <w:szCs w:val="28"/>
        </w:rPr>
        <w:t xml:space="preserve">  </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单位：万元</w:t>
      </w:r>
    </w:p>
    <w:tbl>
      <w:tblPr>
        <w:tblStyle w:val="4"/>
        <w:tblW w:w="14037" w:type="dxa"/>
        <w:jc w:val="center"/>
        <w:tblInd w:w="0" w:type="dxa"/>
        <w:tblLayout w:type="fixed"/>
        <w:tblCellMar>
          <w:top w:w="0" w:type="dxa"/>
          <w:left w:w="108" w:type="dxa"/>
          <w:bottom w:w="0" w:type="dxa"/>
          <w:right w:w="108" w:type="dxa"/>
        </w:tblCellMar>
      </w:tblPr>
      <w:tblGrid>
        <w:gridCol w:w="1406"/>
        <w:gridCol w:w="2684"/>
        <w:gridCol w:w="1639"/>
        <w:gridCol w:w="1530"/>
        <w:gridCol w:w="1490"/>
        <w:gridCol w:w="1520"/>
        <w:gridCol w:w="1230"/>
        <w:gridCol w:w="1230"/>
        <w:gridCol w:w="1308"/>
      </w:tblGrid>
      <w:tr>
        <w:tblPrEx>
          <w:tblLayout w:type="fixed"/>
          <w:tblCellMar>
            <w:top w:w="0" w:type="dxa"/>
            <w:left w:w="108" w:type="dxa"/>
            <w:bottom w:w="0" w:type="dxa"/>
            <w:right w:w="108" w:type="dxa"/>
          </w:tblCellMar>
        </w:tblPrEx>
        <w:trPr>
          <w:trHeight w:val="458" w:hRule="atLeast"/>
          <w:jc w:val="center"/>
        </w:trPr>
        <w:tc>
          <w:tcPr>
            <w:tcW w:w="40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639"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本年收入合计</w:t>
            </w:r>
          </w:p>
        </w:tc>
        <w:tc>
          <w:tcPr>
            <w:tcW w:w="153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财政拨款收入</w:t>
            </w:r>
          </w:p>
        </w:tc>
        <w:tc>
          <w:tcPr>
            <w:tcW w:w="149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上级补助收入</w:t>
            </w:r>
          </w:p>
        </w:tc>
        <w:tc>
          <w:tcPr>
            <w:tcW w:w="1520" w:type="dxa"/>
            <w:vMerge w:val="restart"/>
            <w:tcBorders>
              <w:top w:val="single" w:color="auto" w:sz="4" w:space="0"/>
              <w:left w:val="single" w:color="auto" w:sz="4" w:space="0"/>
              <w:right w:val="single" w:color="auto" w:sz="4" w:space="0"/>
            </w:tcBorders>
            <w:vAlign w:val="center"/>
          </w:tcPr>
          <w:p>
            <w:pPr>
              <w:widowControl/>
              <w:spacing w:line="300" w:lineRule="exact"/>
              <w:ind w:firstLine="216" w:firstLineChars="100"/>
              <w:rPr>
                <w:rFonts w:ascii="仿宋_GB2312" w:hAnsi="宋体" w:eastAsia="仿宋_GB2312" w:cs="宋体"/>
                <w:kern w:val="0"/>
                <w:sz w:val="22"/>
                <w:szCs w:val="22"/>
              </w:rPr>
            </w:pPr>
            <w:r>
              <w:rPr>
                <w:rFonts w:hint="eastAsia" w:ascii="仿宋_GB2312" w:hAnsi="宋体" w:eastAsia="仿宋_GB2312" w:cs="宋体"/>
                <w:kern w:val="0"/>
                <w:sz w:val="22"/>
                <w:szCs w:val="22"/>
              </w:rPr>
              <w:t>事业收入</w:t>
            </w:r>
          </w:p>
        </w:tc>
        <w:tc>
          <w:tcPr>
            <w:tcW w:w="123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经营收入</w:t>
            </w:r>
          </w:p>
        </w:tc>
        <w:tc>
          <w:tcPr>
            <w:tcW w:w="1230" w:type="dxa"/>
            <w:vMerge w:val="restart"/>
            <w:tcBorders>
              <w:top w:val="single" w:color="auto" w:sz="4" w:space="0"/>
              <w:left w:val="single" w:color="auto" w:sz="4" w:space="0"/>
              <w:right w:val="single" w:color="auto" w:sz="4" w:space="0"/>
            </w:tcBorders>
            <w:vAlign w:val="center"/>
          </w:tcPr>
          <w:p>
            <w:pPr>
              <w:widowControl/>
              <w:spacing w:line="300" w:lineRule="exact"/>
              <w:ind w:left="648" w:hanging="648" w:hangingChars="300"/>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附属单位    </w:t>
            </w:r>
          </w:p>
          <w:p>
            <w:pPr>
              <w:widowControl/>
              <w:spacing w:line="300" w:lineRule="exact"/>
              <w:ind w:left="648" w:hanging="648" w:hangingChars="300"/>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上缴收入</w:t>
            </w:r>
          </w:p>
        </w:tc>
        <w:tc>
          <w:tcPr>
            <w:tcW w:w="1308"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其他收入</w:t>
            </w:r>
          </w:p>
        </w:tc>
      </w:tr>
      <w:tr>
        <w:tblPrEx>
          <w:tblLayout w:type="fixed"/>
          <w:tblCellMar>
            <w:top w:w="0" w:type="dxa"/>
            <w:left w:w="108" w:type="dxa"/>
            <w:bottom w:w="0" w:type="dxa"/>
            <w:right w:w="108" w:type="dxa"/>
          </w:tblCellMar>
        </w:tblPrEx>
        <w:trPr>
          <w:trHeight w:val="457" w:hRule="atLeast"/>
          <w:jc w:val="center"/>
        </w:trPr>
        <w:tc>
          <w:tcPr>
            <w:tcW w:w="1406"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268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639"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30"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490"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20" w:type="dxa"/>
            <w:vMerge w:val="continue"/>
            <w:tcBorders>
              <w:left w:val="single" w:color="auto" w:sz="4" w:space="0"/>
              <w:right w:val="single" w:color="auto" w:sz="4" w:space="0"/>
            </w:tcBorders>
            <w:vAlign w:val="center"/>
          </w:tcPr>
          <w:p>
            <w:pPr>
              <w:widowControl/>
              <w:spacing w:line="300" w:lineRule="exact"/>
              <w:ind w:firstLine="216" w:firstLineChars="100"/>
              <w:rPr>
                <w:rFonts w:ascii="仿宋_GB2312" w:hAnsi="宋体" w:eastAsia="仿宋_GB2312" w:cs="宋体"/>
                <w:kern w:val="0"/>
                <w:sz w:val="22"/>
                <w:szCs w:val="22"/>
              </w:rPr>
            </w:pPr>
          </w:p>
        </w:tc>
        <w:tc>
          <w:tcPr>
            <w:tcW w:w="1230"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230" w:type="dxa"/>
            <w:vMerge w:val="continue"/>
            <w:tcBorders>
              <w:left w:val="single" w:color="auto" w:sz="4" w:space="0"/>
              <w:right w:val="single" w:color="auto" w:sz="4" w:space="0"/>
            </w:tcBorders>
            <w:vAlign w:val="center"/>
          </w:tcPr>
          <w:p>
            <w:pPr>
              <w:widowControl/>
              <w:spacing w:line="300" w:lineRule="exact"/>
              <w:ind w:left="648" w:hanging="648" w:hangingChars="300"/>
              <w:jc w:val="center"/>
              <w:rPr>
                <w:rFonts w:ascii="仿宋_GB2312" w:hAnsi="宋体" w:eastAsia="仿宋_GB2312" w:cs="宋体"/>
                <w:kern w:val="0"/>
                <w:sz w:val="22"/>
                <w:szCs w:val="22"/>
              </w:rPr>
            </w:pPr>
          </w:p>
        </w:tc>
        <w:tc>
          <w:tcPr>
            <w:tcW w:w="1308"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40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63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53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w:t>
            </w:r>
          </w:p>
        </w:tc>
      </w:tr>
      <w:tr>
        <w:tblPrEx>
          <w:tblLayout w:type="fixed"/>
          <w:tblCellMar>
            <w:top w:w="0" w:type="dxa"/>
            <w:left w:w="108" w:type="dxa"/>
            <w:bottom w:w="0" w:type="dxa"/>
            <w:right w:w="108" w:type="dxa"/>
          </w:tblCellMar>
        </w:tblPrEx>
        <w:trPr>
          <w:trHeight w:val="397" w:hRule="atLeast"/>
          <w:jc w:val="center"/>
        </w:trPr>
        <w:tc>
          <w:tcPr>
            <w:tcW w:w="40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639" w:type="dxa"/>
            <w:tcBorders>
              <w:top w:val="single" w:color="auto" w:sz="4" w:space="0"/>
              <w:left w:val="single" w:color="auto" w:sz="4" w:space="0"/>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3,008.47</w:t>
            </w:r>
          </w:p>
        </w:tc>
        <w:tc>
          <w:tcPr>
            <w:tcW w:w="1530" w:type="dxa"/>
            <w:tcBorders>
              <w:top w:val="single" w:color="auto" w:sz="4" w:space="0"/>
              <w:left w:val="single" w:color="auto" w:sz="4" w:space="0"/>
              <w:bottom w:val="single" w:color="auto" w:sz="4" w:space="0"/>
              <w:right w:val="single" w:color="auto" w:sz="4" w:space="0"/>
            </w:tcBorders>
            <w:vAlign w:val="center"/>
          </w:tcPr>
          <w:p>
            <w:pPr>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2,988.45</w:t>
            </w:r>
          </w:p>
        </w:tc>
        <w:tc>
          <w:tcPr>
            <w:tcW w:w="149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300" w:lineRule="exact"/>
              <w:jc w:val="left"/>
              <w:rPr>
                <w:rFonts w:ascii="仿宋_GB2312" w:hAnsi="宋体" w:eastAsia="仿宋_GB2312" w:cs="宋体"/>
                <w:b/>
                <w:bCs/>
                <w:kern w:val="0"/>
                <w:sz w:val="22"/>
                <w:szCs w:val="22"/>
              </w:rPr>
            </w:pPr>
            <w:r>
              <w:rPr>
                <w:rFonts w:ascii="仿宋_GB2312" w:hAnsi="宋体" w:eastAsia="仿宋_GB2312" w:cs="宋体"/>
                <w:b/>
                <w:bCs/>
                <w:kern w:val="0"/>
                <w:sz w:val="22"/>
                <w:szCs w:val="22"/>
              </w:rPr>
              <w:t>201</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一般公共服务支出</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20104</w:t>
            </w:r>
          </w:p>
        </w:tc>
        <w:tc>
          <w:tcPr>
            <w:tcW w:w="2684"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发展与改革事务</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49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2010408</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物价管理</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　</w:t>
            </w:r>
          </w:p>
        </w:tc>
        <w:tc>
          <w:tcPr>
            <w:tcW w:w="149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灾害防治及应急管理支出</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2,987.78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2,987.78　</w:t>
            </w:r>
          </w:p>
        </w:tc>
        <w:tc>
          <w:tcPr>
            <w:tcW w:w="149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22401</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应急管理事务</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2,987.78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2,987.78　</w:t>
            </w:r>
          </w:p>
        </w:tc>
        <w:tc>
          <w:tcPr>
            <w:tcW w:w="149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2240101</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行政运行</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805.59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805.59　</w:t>
            </w:r>
          </w:p>
        </w:tc>
        <w:tc>
          <w:tcPr>
            <w:tcW w:w="149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2240102</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一般行政管理事务</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7.50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7.50　</w:t>
            </w:r>
          </w:p>
        </w:tc>
        <w:tc>
          <w:tcPr>
            <w:tcW w:w="149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2240106</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安全监管</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933.13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933.13　</w:t>
            </w:r>
          </w:p>
        </w:tc>
        <w:tc>
          <w:tcPr>
            <w:tcW w:w="149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2240108</w:t>
            </w:r>
          </w:p>
        </w:tc>
        <w:tc>
          <w:tcPr>
            <w:tcW w:w="268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应急救援</w:t>
            </w:r>
          </w:p>
        </w:tc>
        <w:tc>
          <w:tcPr>
            <w:tcW w:w="1639"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710.00　</w:t>
            </w:r>
          </w:p>
        </w:tc>
        <w:tc>
          <w:tcPr>
            <w:tcW w:w="15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710.00　</w:t>
            </w:r>
          </w:p>
        </w:tc>
        <w:tc>
          <w:tcPr>
            <w:tcW w:w="149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520"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2240150</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事业运行</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411.55</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411.55</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22407</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自然灾害救灾及恢复重建支出</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120.00</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120.00</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409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63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本年收入合计</w:t>
            </w:r>
          </w:p>
        </w:tc>
        <w:tc>
          <w:tcPr>
            <w:tcW w:w="153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财政拨款收入</w:t>
            </w:r>
          </w:p>
        </w:tc>
        <w:tc>
          <w:tcPr>
            <w:tcW w:w="14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上级补助收入</w:t>
            </w:r>
          </w:p>
        </w:tc>
        <w:tc>
          <w:tcPr>
            <w:tcW w:w="152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事业收入</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ind w:firstLine="428"/>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经营收入</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附属单位上缴收入</w:t>
            </w:r>
          </w:p>
        </w:tc>
        <w:tc>
          <w:tcPr>
            <w:tcW w:w="130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其他收入</w:t>
            </w: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63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4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30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2240703</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自然灾害救灾补助</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120.00</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120.00</w:t>
            </w: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229</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其他支出</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22999</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其他支出</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r>
      <w:tr>
        <w:tblPrEx>
          <w:tblLayout w:type="fixed"/>
          <w:tblCellMar>
            <w:top w:w="0" w:type="dxa"/>
            <w:left w:w="108" w:type="dxa"/>
            <w:bottom w:w="0" w:type="dxa"/>
            <w:right w:w="108" w:type="dxa"/>
          </w:tblCellMar>
        </w:tblPrEx>
        <w:trPr>
          <w:trHeight w:val="397" w:hRule="atLeast"/>
          <w:jc w:val="center"/>
        </w:trPr>
        <w:tc>
          <w:tcPr>
            <w:tcW w:w="140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2299901</w:t>
            </w:r>
          </w:p>
        </w:tc>
        <w:tc>
          <w:tcPr>
            <w:tcW w:w="268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其他支出</w:t>
            </w:r>
          </w:p>
        </w:tc>
        <w:tc>
          <w:tcPr>
            <w:tcW w:w="163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c>
          <w:tcPr>
            <w:tcW w:w="15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9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30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20.02</w:t>
            </w:r>
          </w:p>
        </w:tc>
      </w:tr>
    </w:tbl>
    <w:p>
      <w:pPr>
        <w:ind w:firstLine="108" w:firstLineChars="50"/>
        <w:rPr>
          <w:rFonts w:ascii="仿宋_GB2312" w:hAnsi="宋体" w:eastAsia="仿宋_GB2312"/>
          <w:sz w:val="22"/>
          <w:szCs w:val="22"/>
        </w:rPr>
      </w:pPr>
      <w:r>
        <w:rPr>
          <w:rFonts w:hint="eastAsia" w:ascii="仿宋_GB2312" w:hAnsi="宋体" w:eastAsia="仿宋_GB2312"/>
          <w:sz w:val="22"/>
          <w:szCs w:val="22"/>
        </w:rPr>
        <w:t>注：本表反映部门本年度取得的各项收入情况。本表金额转化为万元时，因四舍五入可能出现尾差。</w:t>
      </w:r>
    </w:p>
    <w:p>
      <w:pPr>
        <w:ind w:firstLine="108" w:firstLineChars="50"/>
        <w:rPr>
          <w:rFonts w:ascii="仿宋_GB2312" w:hAnsi="宋体" w:eastAsia="仿宋_GB2312"/>
          <w:sz w:val="22"/>
          <w:szCs w:val="22"/>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支出决算表</w:t>
      </w:r>
    </w:p>
    <w:p>
      <w:pPr>
        <w:spacing w:line="400" w:lineRule="exact"/>
        <w:jc w:val="right"/>
        <w:rPr>
          <w:rFonts w:ascii="楷体_GB2312" w:eastAsia="楷体_GB2312"/>
          <w:sz w:val="28"/>
          <w:szCs w:val="28"/>
        </w:rPr>
      </w:pPr>
      <w:r>
        <w:rPr>
          <w:rFonts w:hint="eastAsia" w:ascii="楷体_GB2312" w:eastAsia="楷体_GB2312"/>
          <w:sz w:val="28"/>
          <w:szCs w:val="28"/>
        </w:rPr>
        <w:t xml:space="preserve">                                                                                   公开03表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 部门：济宁市应急管理局                                                               单位：万元</w:t>
      </w:r>
    </w:p>
    <w:tbl>
      <w:tblPr>
        <w:tblStyle w:val="4"/>
        <w:tblW w:w="12974" w:type="dxa"/>
        <w:jc w:val="center"/>
        <w:tblInd w:w="0" w:type="dxa"/>
        <w:tblLayout w:type="fixed"/>
        <w:tblCellMar>
          <w:top w:w="0" w:type="dxa"/>
          <w:left w:w="108" w:type="dxa"/>
          <w:bottom w:w="0" w:type="dxa"/>
          <w:right w:w="108" w:type="dxa"/>
        </w:tblCellMar>
      </w:tblPr>
      <w:tblGrid>
        <w:gridCol w:w="1344"/>
        <w:gridCol w:w="57"/>
        <w:gridCol w:w="2080"/>
        <w:gridCol w:w="1700"/>
        <w:gridCol w:w="1396"/>
        <w:gridCol w:w="1513"/>
        <w:gridCol w:w="1557"/>
        <w:gridCol w:w="1470"/>
        <w:gridCol w:w="1857"/>
      </w:tblGrid>
      <w:tr>
        <w:tblPrEx>
          <w:tblLayout w:type="fixed"/>
          <w:tblCellMar>
            <w:top w:w="0" w:type="dxa"/>
            <w:left w:w="108" w:type="dxa"/>
            <w:bottom w:w="0" w:type="dxa"/>
            <w:right w:w="108" w:type="dxa"/>
          </w:tblCellMar>
        </w:tblPrEx>
        <w:trPr>
          <w:trHeight w:val="458" w:hRule="atLeast"/>
          <w:jc w:val="center"/>
        </w:trPr>
        <w:tc>
          <w:tcPr>
            <w:tcW w:w="34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70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本年支出合计</w:t>
            </w:r>
          </w:p>
        </w:tc>
        <w:tc>
          <w:tcPr>
            <w:tcW w:w="1396"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51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55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上缴上级支出</w:t>
            </w:r>
          </w:p>
        </w:tc>
        <w:tc>
          <w:tcPr>
            <w:tcW w:w="147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经营支出    </w:t>
            </w:r>
          </w:p>
        </w:tc>
        <w:tc>
          <w:tcPr>
            <w:tcW w:w="185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对附属单位</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补助支出</w:t>
            </w:r>
          </w:p>
        </w:tc>
      </w:tr>
      <w:tr>
        <w:tblPrEx>
          <w:tblLayout w:type="fixed"/>
          <w:tblCellMar>
            <w:top w:w="0" w:type="dxa"/>
            <w:left w:w="108" w:type="dxa"/>
            <w:bottom w:w="0" w:type="dxa"/>
            <w:right w:w="108" w:type="dxa"/>
          </w:tblCellMar>
        </w:tblPrEx>
        <w:trPr>
          <w:trHeight w:val="457" w:hRule="atLeast"/>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208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700"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396"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1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557"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470"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857"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34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700"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396"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51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55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470"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85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Layout w:type="fixed"/>
          <w:tblCellMar>
            <w:top w:w="0" w:type="dxa"/>
            <w:left w:w="108" w:type="dxa"/>
            <w:bottom w:w="0" w:type="dxa"/>
            <w:right w:w="108" w:type="dxa"/>
          </w:tblCellMar>
        </w:tblPrEx>
        <w:trPr>
          <w:trHeight w:val="406" w:hRule="atLeast"/>
          <w:jc w:val="center"/>
        </w:trPr>
        <w:tc>
          <w:tcPr>
            <w:tcW w:w="34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700"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3,387.75</w:t>
            </w:r>
          </w:p>
        </w:tc>
        <w:tc>
          <w:tcPr>
            <w:tcW w:w="1396"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1,168.19</w:t>
            </w:r>
          </w:p>
        </w:tc>
        <w:tc>
          <w:tcPr>
            <w:tcW w:w="1513"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2,219.56</w:t>
            </w:r>
          </w:p>
        </w:tc>
        <w:tc>
          <w:tcPr>
            <w:tcW w:w="155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470"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85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10" w:hRule="atLeast"/>
          <w:jc w:val="center"/>
        </w:trPr>
        <w:tc>
          <w:tcPr>
            <w:tcW w:w="1344" w:type="dxa"/>
            <w:tcBorders>
              <w:top w:val="single" w:color="auto" w:sz="4" w:space="0"/>
              <w:left w:val="single" w:color="auto" w:sz="4" w:space="0"/>
              <w:bottom w:val="single" w:color="auto" w:sz="4" w:space="0"/>
              <w:right w:val="nil"/>
            </w:tcBorders>
            <w:vAlign w:val="center"/>
          </w:tcPr>
          <w:p>
            <w:pPr>
              <w:spacing w:line="300" w:lineRule="exact"/>
              <w:jc w:val="left"/>
              <w:rPr>
                <w:rFonts w:ascii="仿宋_GB2312" w:hAnsi="宋体" w:eastAsia="仿宋_GB2312" w:cs="宋体"/>
                <w:kern w:val="0"/>
                <w:sz w:val="22"/>
                <w:szCs w:val="22"/>
              </w:rPr>
            </w:pPr>
            <w:r>
              <w:rPr>
                <w:rFonts w:ascii="仿宋_GB2312" w:hAnsi="宋体" w:eastAsia="仿宋_GB2312" w:cs="宋体"/>
                <w:b/>
                <w:bCs/>
                <w:kern w:val="0"/>
                <w:sz w:val="22"/>
                <w:szCs w:val="22"/>
              </w:rPr>
              <w:t>201</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一般公共服务支出</w:t>
            </w:r>
          </w:p>
        </w:tc>
        <w:tc>
          <w:tcPr>
            <w:tcW w:w="1700" w:type="dxa"/>
            <w:tcBorders>
              <w:top w:val="single" w:color="auto" w:sz="4" w:space="0"/>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415.97</w:t>
            </w:r>
          </w:p>
        </w:tc>
        <w:tc>
          <w:tcPr>
            <w:tcW w:w="1396" w:type="dxa"/>
            <w:tcBorders>
              <w:top w:val="single" w:color="auto" w:sz="4" w:space="0"/>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155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20104</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发展与改革事务</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2010408</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物价管理</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20199</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其他一般公共服务支出</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2019999</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其他一般公共服务支出</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215</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资源勘探信息等支出</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21505</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工业和信息产业监管</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2150511</w:t>
            </w:r>
          </w:p>
        </w:tc>
        <w:tc>
          <w:tcPr>
            <w:tcW w:w="2137"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电子专项工程</w:t>
            </w:r>
          </w:p>
        </w:tc>
        <w:tc>
          <w:tcPr>
            <w:tcW w:w="1700" w:type="dxa"/>
            <w:tcBorders>
              <w:top w:val="nil"/>
              <w:left w:val="nil"/>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396" w:type="dxa"/>
            <w:tcBorders>
              <w:top w:val="nil"/>
              <w:left w:val="single" w:color="auto" w:sz="4" w:space="0"/>
              <w:bottom w:val="single" w:color="auto" w:sz="4" w:space="0"/>
              <w:right w:val="nil"/>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5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灾害防治及应急管理支出</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2,347.11</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1,167.52</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1,179.59</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34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70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本年支出合计</w:t>
            </w:r>
          </w:p>
        </w:tc>
        <w:tc>
          <w:tcPr>
            <w:tcW w:w="139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51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55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上缴上级支出</w:t>
            </w:r>
          </w:p>
        </w:tc>
        <w:tc>
          <w:tcPr>
            <w:tcW w:w="147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经营支出    </w:t>
            </w:r>
          </w:p>
        </w:tc>
        <w:tc>
          <w:tcPr>
            <w:tcW w:w="185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对附属单位</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补助支出</w:t>
            </w:r>
          </w:p>
        </w:tc>
      </w:tr>
      <w:tr>
        <w:tblPrEx>
          <w:tblLayout w:type="fixed"/>
          <w:tblCellMar>
            <w:top w:w="0" w:type="dxa"/>
            <w:left w:w="108" w:type="dxa"/>
            <w:bottom w:w="0" w:type="dxa"/>
            <w:right w:w="108" w:type="dxa"/>
          </w:tblCellMar>
        </w:tblPrEx>
        <w:trPr>
          <w:trHeight w:val="406" w:hRule="atLeast"/>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208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7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39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13" w:type="dxa"/>
            <w:vMerge w:val="continue"/>
            <w:tcBorders>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57" w:type="dxa"/>
            <w:vMerge w:val="continue"/>
            <w:tcBorders>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vMerge w:val="continue"/>
            <w:tcBorders>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vMerge w:val="continue"/>
            <w:tcBorders>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16" w:hRule="atLeast"/>
          <w:jc w:val="center"/>
        </w:trPr>
        <w:tc>
          <w:tcPr>
            <w:tcW w:w="34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22401</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应急管理事务</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2,227.18</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1,167.52</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1,059.66</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2240101</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行政运行</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805.57</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805.57</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2240102</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一般行政管理事务</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7.50</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7.50</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2240106</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安全监管</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1,007.50</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21.05</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986.45</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2240150</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事业运行</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406.17</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340.52</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65.65</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2240199</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其他应急管理支出</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0.44</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0.38</w:t>
            </w: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0.06</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22407</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自然灾害救灾及恢复重建支出</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2240703</w:t>
            </w:r>
          </w:p>
        </w:tc>
        <w:tc>
          <w:tcPr>
            <w:tcW w:w="213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自然灾害救灾补助</w:t>
            </w:r>
          </w:p>
        </w:tc>
        <w:tc>
          <w:tcPr>
            <w:tcW w:w="170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51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c>
          <w:tcPr>
            <w:tcW w:w="15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4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85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bl>
    <w:p>
      <w:pPr>
        <w:ind w:firstLine="108" w:firstLineChars="50"/>
        <w:rPr>
          <w:rFonts w:ascii="仿宋_GB2312" w:hAnsi="宋体" w:eastAsia="仿宋_GB2312"/>
          <w:sz w:val="22"/>
          <w:szCs w:val="22"/>
        </w:rPr>
      </w:pPr>
      <w:r>
        <w:rPr>
          <w:rFonts w:hint="eastAsia" w:ascii="仿宋_GB2312" w:hAnsi="宋体" w:eastAsia="仿宋_GB2312"/>
          <w:sz w:val="22"/>
          <w:szCs w:val="22"/>
        </w:rPr>
        <w:t>注：本表反映部门本年度各项支出情况。本表金额转化为万元时，因四舍五入可能出现尾差。</w:t>
      </w:r>
    </w:p>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财政拨款收入支出决算总表</w:t>
      </w:r>
    </w:p>
    <w:p>
      <w:pPr>
        <w:spacing w:line="400" w:lineRule="exact"/>
        <w:jc w:val="right"/>
        <w:rPr>
          <w:rFonts w:ascii="楷体_GB2312" w:eastAsia="楷体_GB2312"/>
          <w:sz w:val="28"/>
          <w:szCs w:val="28"/>
        </w:rPr>
      </w:pPr>
      <w:r>
        <w:rPr>
          <w:rFonts w:hint="eastAsia" w:ascii="楷体_GB2312" w:eastAsia="楷体_GB2312"/>
          <w:sz w:val="28"/>
          <w:szCs w:val="28"/>
        </w:rPr>
        <w:t>公开04表</w:t>
      </w:r>
    </w:p>
    <w:p>
      <w:pPr>
        <w:spacing w:line="400" w:lineRule="exact"/>
        <w:ind w:firstLine="138" w:firstLineChars="50"/>
        <w:jc w:val="left"/>
        <w:rPr>
          <w:rFonts w:ascii="楷体_GB2312" w:eastAsia="楷体_GB2312"/>
          <w:sz w:val="28"/>
          <w:szCs w:val="28"/>
        </w:rPr>
      </w:pPr>
      <w:r>
        <w:rPr>
          <w:rFonts w:hint="eastAsia" w:ascii="楷体_GB2312" w:eastAsia="楷体_GB2312"/>
          <w:sz w:val="28"/>
          <w:szCs w:val="28"/>
        </w:rPr>
        <w:t>部门：济宁市应急管理局                                                           单位：万元</w:t>
      </w:r>
    </w:p>
    <w:tbl>
      <w:tblPr>
        <w:tblStyle w:val="4"/>
        <w:tblW w:w="1334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22"/>
        <w:gridCol w:w="540"/>
        <w:gridCol w:w="1512"/>
        <w:gridCol w:w="2628"/>
        <w:gridCol w:w="540"/>
        <w:gridCol w:w="1699"/>
        <w:gridCol w:w="1700"/>
        <w:gridCol w:w="17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jc w:val="center"/>
        </w:trPr>
        <w:tc>
          <w:tcPr>
            <w:tcW w:w="5074" w:type="dxa"/>
            <w:gridSpan w:val="3"/>
            <w:tcBorders>
              <w:top w:val="single" w:color="auto" w:sz="4" w:space="0"/>
              <w:bottom w:val="single" w:color="auto" w:sz="4" w:space="0"/>
              <w:right w:val="nil"/>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收 入</w:t>
            </w:r>
          </w:p>
        </w:tc>
        <w:tc>
          <w:tcPr>
            <w:tcW w:w="8267" w:type="dxa"/>
            <w:gridSpan w:val="5"/>
            <w:tcBorders>
              <w:top w:val="single" w:color="auto" w:sz="4" w:space="0"/>
              <w:left w:val="nil"/>
              <w:bottom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支 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jc w:val="center"/>
        </w:trPr>
        <w:tc>
          <w:tcPr>
            <w:tcW w:w="3022" w:type="dxa"/>
            <w:tcBorders>
              <w:top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行次</w:t>
            </w:r>
          </w:p>
        </w:tc>
        <w:tc>
          <w:tcPr>
            <w:tcW w:w="1512"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决算数</w:t>
            </w:r>
          </w:p>
        </w:tc>
        <w:tc>
          <w:tcPr>
            <w:tcW w:w="262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行次</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一般公共预算</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财政拨款</w:t>
            </w:r>
          </w:p>
        </w:tc>
        <w:tc>
          <w:tcPr>
            <w:tcW w:w="1700" w:type="dxa"/>
            <w:tcBorders>
              <w:top w:val="single" w:color="auto" w:sz="4" w:space="0"/>
              <w:left w:val="single" w:color="auto" w:sz="4" w:space="0"/>
              <w:bottom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政府性基金</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预算财政拨款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ind w:firstLine="1080" w:firstLineChars="500"/>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62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一、一般公共预算财政拨款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2,988.45</w:t>
            </w:r>
          </w:p>
        </w:tc>
        <w:tc>
          <w:tcPr>
            <w:tcW w:w="262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一、一般公共服务支出</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8</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415.97</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415.97</w:t>
            </w:r>
          </w:p>
        </w:tc>
        <w:tc>
          <w:tcPr>
            <w:tcW w:w="1700" w:type="dxa"/>
            <w:tcBorders>
              <w:top w:val="single" w:color="auto" w:sz="4" w:space="0"/>
              <w:left w:val="single" w:color="auto" w:sz="4" w:space="0"/>
              <w:bottom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十四、资源勘探信息等支出</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二十一、灾害防治及应急管理支出</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2,347.11</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2,347.11</w:t>
            </w: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Cs/>
                <w:kern w:val="0"/>
                <w:sz w:val="22"/>
                <w:szCs w:val="22"/>
              </w:rPr>
            </w:pPr>
            <w:r>
              <w:rPr>
                <w:rFonts w:hint="eastAsia" w:ascii="仿宋_GB2312" w:hAnsi="宋体" w:eastAsia="仿宋_GB2312" w:cs="宋体"/>
                <w:bCs/>
                <w:kern w:val="0"/>
                <w:sz w:val="22"/>
                <w:szCs w:val="22"/>
              </w:rPr>
              <w:t>本年收入合计</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2,988.45</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Cs/>
                <w:kern w:val="0"/>
                <w:sz w:val="22"/>
                <w:szCs w:val="22"/>
              </w:rPr>
            </w:pPr>
            <w:r>
              <w:rPr>
                <w:rFonts w:hint="eastAsia" w:ascii="仿宋_GB2312" w:hAnsi="宋体" w:eastAsia="仿宋_GB2312" w:cs="宋体"/>
                <w:bCs/>
                <w:kern w:val="0"/>
                <w:sz w:val="22"/>
                <w:szCs w:val="22"/>
              </w:rPr>
              <w:t>本年支出合计</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11</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3,387.74</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3,387.74</w:t>
            </w: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b/>
                <w:bCs/>
                <w:kern w:val="0"/>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rPr>
                <w:rFonts w:ascii="仿宋_GB2312" w:hAnsi="宋体" w:eastAsia="仿宋_GB2312" w:cs="宋体"/>
                <w:kern w:val="0"/>
                <w:sz w:val="22"/>
                <w:szCs w:val="22"/>
              </w:rPr>
            </w:pPr>
            <w:r>
              <w:rPr>
                <w:rFonts w:hint="eastAsia" w:ascii="仿宋_GB2312" w:hAnsi="宋体" w:eastAsia="仿宋_GB2312" w:cs="宋体"/>
                <w:kern w:val="0"/>
                <w:sz w:val="22"/>
                <w:szCs w:val="22"/>
              </w:rPr>
              <w:t>年初财政拨款结转和结余</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1,373.46</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rPr>
                <w:rFonts w:ascii="仿宋_GB2312" w:hAnsi="宋体" w:eastAsia="仿宋_GB2312" w:cs="宋体"/>
                <w:kern w:val="0"/>
                <w:sz w:val="22"/>
                <w:szCs w:val="22"/>
              </w:rPr>
            </w:pPr>
            <w:r>
              <w:rPr>
                <w:rFonts w:hint="eastAsia" w:ascii="仿宋_GB2312" w:hAnsi="宋体" w:eastAsia="仿宋_GB2312" w:cs="宋体"/>
                <w:kern w:val="0"/>
                <w:sz w:val="22"/>
                <w:szCs w:val="22"/>
              </w:rPr>
              <w:t>年末财政拨款结转和结余</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12</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974.17</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974.17</w:t>
            </w: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一般公共预算财政拨款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1,373.46</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13</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bCs/>
                <w:kern w:val="0"/>
                <w:sz w:val="22"/>
                <w:szCs w:val="22"/>
              </w:rPr>
            </w:pPr>
            <w:r>
              <w:rPr>
                <w:rFonts w:hint="eastAsia" w:ascii="仿宋_GB2312" w:hAnsi="宋体" w:eastAsia="仿宋_GB2312" w:cs="宋体"/>
                <w:bCs/>
                <w:kern w:val="0"/>
                <w:sz w:val="22"/>
                <w:szCs w:val="22"/>
              </w:rPr>
              <w:t>总计</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4,361.91</w:t>
            </w:r>
          </w:p>
        </w:tc>
        <w:tc>
          <w:tcPr>
            <w:tcW w:w="2628"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bCs/>
                <w:kern w:val="0"/>
                <w:sz w:val="22"/>
                <w:szCs w:val="22"/>
              </w:rPr>
            </w:pPr>
            <w:r>
              <w:rPr>
                <w:rFonts w:hint="eastAsia" w:ascii="仿宋_GB2312" w:hAnsi="宋体" w:eastAsia="仿宋_GB2312" w:cs="宋体"/>
                <w:bCs/>
                <w:kern w:val="0"/>
                <w:sz w:val="22"/>
                <w:szCs w:val="22"/>
              </w:rPr>
              <w:t>总计</w:t>
            </w:r>
          </w:p>
        </w:tc>
        <w:tc>
          <w:tcPr>
            <w:tcW w:w="5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14</w:t>
            </w:r>
          </w:p>
        </w:tc>
        <w:tc>
          <w:tcPr>
            <w:tcW w:w="169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4,361.91</w:t>
            </w:r>
          </w:p>
        </w:tc>
        <w:tc>
          <w:tcPr>
            <w:tcW w:w="17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4,361.91</w:t>
            </w:r>
          </w:p>
        </w:tc>
        <w:tc>
          <w:tcPr>
            <w:tcW w:w="170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b/>
                <w:bCs/>
                <w:kern w:val="0"/>
                <w:sz w:val="22"/>
                <w:szCs w:val="22"/>
              </w:rPr>
            </w:pPr>
          </w:p>
        </w:tc>
      </w:tr>
    </w:tbl>
    <w:p>
      <w:pPr>
        <w:ind w:firstLine="108" w:firstLineChars="50"/>
        <w:rPr>
          <w:rFonts w:ascii="仿宋_GB2312" w:hAnsi="宋体" w:eastAsia="仿宋_GB2312"/>
          <w:sz w:val="22"/>
          <w:szCs w:val="22"/>
        </w:rPr>
      </w:pPr>
      <w:r>
        <w:rPr>
          <w:rFonts w:hint="eastAsia" w:ascii="仿宋_GB2312" w:hAnsi="宋体" w:eastAsia="仿宋_GB2312"/>
          <w:sz w:val="22"/>
          <w:szCs w:val="22"/>
        </w:rPr>
        <w:t>注：本表反映部门本年度一般公共预算财政拨款和政府性基金预算财政拨款的总收支和年末结转结余情况。本表金额转化为万元时，因四舍五入可能出现尾差。</w:t>
      </w:r>
    </w:p>
    <w:p>
      <w:pPr>
        <w:ind w:firstLine="108" w:firstLineChars="50"/>
        <w:rPr>
          <w:rFonts w:ascii="仿宋_GB2312" w:hAnsi="宋体" w:eastAsia="仿宋_GB2312"/>
          <w:sz w:val="22"/>
          <w:szCs w:val="22"/>
        </w:rPr>
      </w:pPr>
    </w:p>
    <w:p>
      <w:pPr>
        <w:ind w:firstLine="108" w:firstLineChars="50"/>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公开05表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部门：济宁市应急管理局                                       </w:t>
      </w:r>
      <w:r>
        <w:rPr>
          <w:rFonts w:ascii="楷体_GB2312" w:eastAsia="楷体_GB2312"/>
          <w:sz w:val="28"/>
          <w:szCs w:val="28"/>
        </w:rPr>
        <w:t xml:space="preserve">  </w:t>
      </w:r>
      <w:r>
        <w:rPr>
          <w:rFonts w:hint="eastAsia" w:ascii="楷体_GB2312" w:eastAsia="楷体_GB2312"/>
          <w:sz w:val="28"/>
          <w:szCs w:val="28"/>
        </w:rPr>
        <w:t xml:space="preserve">                     单位：万元</w:t>
      </w:r>
    </w:p>
    <w:tbl>
      <w:tblPr>
        <w:tblStyle w:val="4"/>
        <w:tblW w:w="13152" w:type="dxa"/>
        <w:jc w:val="center"/>
        <w:tblInd w:w="0" w:type="dxa"/>
        <w:tblLayout w:type="fixed"/>
        <w:tblCellMar>
          <w:top w:w="0" w:type="dxa"/>
          <w:left w:w="108" w:type="dxa"/>
          <w:bottom w:w="0" w:type="dxa"/>
          <w:right w:w="108" w:type="dxa"/>
        </w:tblCellMar>
      </w:tblPr>
      <w:tblGrid>
        <w:gridCol w:w="1701"/>
        <w:gridCol w:w="3170"/>
        <w:gridCol w:w="2783"/>
        <w:gridCol w:w="2978"/>
        <w:gridCol w:w="2520"/>
      </w:tblGrid>
      <w:tr>
        <w:tblPrEx>
          <w:tblLayout w:type="fixed"/>
          <w:tblCellMar>
            <w:top w:w="0" w:type="dxa"/>
            <w:left w:w="108" w:type="dxa"/>
            <w:bottom w:w="0" w:type="dxa"/>
            <w:right w:w="108" w:type="dxa"/>
          </w:tblCellMar>
        </w:tblPrEx>
        <w:trPr>
          <w:trHeight w:val="428" w:hRule="atLeas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Layout w:type="fixed"/>
          <w:tblCellMar>
            <w:top w:w="0" w:type="dxa"/>
            <w:left w:w="108" w:type="dxa"/>
            <w:bottom w:w="0" w:type="dxa"/>
            <w:right w:w="108" w:type="dxa"/>
          </w:tblCellMar>
        </w:tblPrEx>
        <w:trPr>
          <w:trHeight w:val="675"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Layout w:type="fixed"/>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Layout w:type="fixed"/>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3,387.74</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1168.19</w:t>
            </w: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2219.55</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cs="宋体"/>
                <w:kern w:val="0"/>
                <w:sz w:val="22"/>
                <w:szCs w:val="22"/>
              </w:rPr>
            </w:pPr>
            <w:r>
              <w:rPr>
                <w:rFonts w:ascii="仿宋_GB2312" w:hAnsi="宋体" w:eastAsia="仿宋_GB2312" w:cs="宋体"/>
                <w:b/>
                <w:bCs/>
                <w:kern w:val="0"/>
                <w:sz w:val="22"/>
                <w:szCs w:val="22"/>
              </w:rPr>
              <w:t>201</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一般公共服务支出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415.97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20104</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发展与改革事务</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2010408</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物价管理</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0.67</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20199</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其他一般公共服务支出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2019999</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其他一般公共服务支出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415.30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215</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资源勘探信息等支出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21505</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工业和信息产业监管</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2150511</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电子专项工程</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624.67</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224</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b/>
                <w:bCs/>
                <w:kern w:val="0"/>
                <w:sz w:val="22"/>
                <w:szCs w:val="22"/>
              </w:rPr>
              <w:t>灾害防治及应急管理支出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2,347.11</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1,167.52</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1,179.59</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22401</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应急管理事务</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2,227.18</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1,167.52</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1,059.66</w:t>
            </w:r>
          </w:p>
        </w:tc>
      </w:tr>
      <w:tr>
        <w:tblPrEx>
          <w:tblLayout w:type="fixed"/>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Layout w:type="fixed"/>
          <w:tblCellMar>
            <w:top w:w="0" w:type="dxa"/>
            <w:left w:w="108" w:type="dxa"/>
            <w:bottom w:w="0" w:type="dxa"/>
            <w:right w:w="108" w:type="dxa"/>
          </w:tblCellMar>
        </w:tblPrEx>
        <w:trPr>
          <w:trHeight w:val="57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Layout w:type="fixed"/>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2240101</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805.57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805.57</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2240102</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一般行政管理事务</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7.50</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7.50</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2240106</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安全监管</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1,007.50</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21.05</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986.45</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2240150</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事业运行</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406.17</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340.52</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65.65</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2240199</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其他应急管理支出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0.44</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0.38</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0.06</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22407</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b/>
                <w:bCs/>
                <w:kern w:val="0"/>
                <w:sz w:val="22"/>
                <w:szCs w:val="22"/>
              </w:rPr>
              <w:t>自然灾害救灾及恢复重建支出</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r>
      <w:tr>
        <w:tblPrEx>
          <w:tblLayout w:type="fixed"/>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2240703</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b/>
                <w:bCs/>
                <w:kern w:val="0"/>
                <w:sz w:val="22"/>
                <w:szCs w:val="22"/>
              </w:rPr>
            </w:pPr>
            <w:r>
              <w:rPr>
                <w:rFonts w:hint="eastAsia" w:ascii="仿宋_GB2312" w:hAnsi="宋体" w:eastAsia="仿宋_GB2312" w:cs="宋体"/>
                <w:kern w:val="0"/>
                <w:sz w:val="22"/>
                <w:szCs w:val="22"/>
              </w:rPr>
              <w:t>自然灾害救灾补助</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r>
              <w:rPr>
                <w:rFonts w:hint="eastAsia" w:ascii="仿宋_GB2312" w:hAnsi="宋体" w:eastAsia="仿宋_GB2312" w:cs="宋体"/>
                <w:kern w:val="0"/>
                <w:sz w:val="22"/>
                <w:szCs w:val="22"/>
              </w:rPr>
              <w:t>119.93</w:t>
            </w:r>
          </w:p>
        </w:tc>
      </w:tr>
    </w:tbl>
    <w:p>
      <w:pPr>
        <w:spacing w:line="400" w:lineRule="exact"/>
        <w:ind w:firstLine="108" w:firstLineChars="50"/>
        <w:jc w:val="left"/>
        <w:rPr>
          <w:rFonts w:ascii="仿宋_GB2312" w:hAnsi="宋体" w:eastAsia="仿宋_GB2312"/>
          <w:sz w:val="22"/>
          <w:szCs w:val="22"/>
        </w:rPr>
      </w:pPr>
      <w:r>
        <w:rPr>
          <w:rFonts w:hint="eastAsia" w:ascii="仿宋_GB2312" w:hAnsi="宋体" w:eastAsia="仿宋_GB2312"/>
          <w:sz w:val="22"/>
          <w:szCs w:val="22"/>
        </w:rPr>
        <w:t>注：本表反映部门本年度一般公共预算财政拨款支出情况。本表金额转化为万元时，因四舍五入可能出现尾差。</w:t>
      </w:r>
    </w:p>
    <w:p>
      <w:pPr>
        <w:spacing w:line="400" w:lineRule="exact"/>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一般公共预算财政拨款基本支出决算表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公开06表</w:t>
      </w:r>
    </w:p>
    <w:p>
      <w:pPr>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部门：济宁市应急管理局                                     </w:t>
      </w:r>
      <w:r>
        <w:rPr>
          <w:rFonts w:ascii="楷体_GB2312" w:eastAsia="楷体_GB2312"/>
          <w:sz w:val="28"/>
          <w:szCs w:val="28"/>
        </w:rPr>
        <w:t xml:space="preserve"> </w:t>
      </w:r>
      <w:r>
        <w:rPr>
          <w:rFonts w:hint="eastAsia" w:ascii="楷体_GB2312" w:eastAsia="楷体_GB2312"/>
          <w:sz w:val="28"/>
          <w:szCs w:val="28"/>
        </w:rPr>
        <w:t xml:space="preserve">                        单位：万元</w:t>
      </w:r>
    </w:p>
    <w:tbl>
      <w:tblPr>
        <w:tblStyle w:val="4"/>
        <w:tblW w:w="13553" w:type="dxa"/>
        <w:jc w:val="center"/>
        <w:tblInd w:w="0" w:type="dxa"/>
        <w:tblLayout w:type="fixed"/>
        <w:tblCellMar>
          <w:top w:w="0" w:type="dxa"/>
          <w:left w:w="108" w:type="dxa"/>
          <w:bottom w:w="0" w:type="dxa"/>
          <w:right w:w="108" w:type="dxa"/>
        </w:tblCellMar>
      </w:tblPr>
      <w:tblGrid>
        <w:gridCol w:w="1008"/>
        <w:gridCol w:w="3023"/>
        <w:gridCol w:w="1162"/>
        <w:gridCol w:w="823"/>
        <w:gridCol w:w="1984"/>
        <w:gridCol w:w="1042"/>
        <w:gridCol w:w="801"/>
        <w:gridCol w:w="2551"/>
        <w:gridCol w:w="1159"/>
      </w:tblGrid>
      <w:tr>
        <w:tblPrEx>
          <w:tblLayout w:type="fixed"/>
          <w:tblCellMar>
            <w:top w:w="0" w:type="dxa"/>
            <w:left w:w="108" w:type="dxa"/>
            <w:bottom w:w="0" w:type="dxa"/>
            <w:right w:w="108" w:type="dxa"/>
          </w:tblCellMar>
        </w:tblPrEx>
        <w:trPr>
          <w:trHeight w:val="369" w:hRule="atLeast"/>
          <w:tblHeader/>
          <w:jc w:val="center"/>
        </w:trPr>
        <w:tc>
          <w:tcPr>
            <w:tcW w:w="5193" w:type="dxa"/>
            <w:gridSpan w:val="3"/>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人员经费</w:t>
            </w:r>
          </w:p>
        </w:tc>
        <w:tc>
          <w:tcPr>
            <w:tcW w:w="8360" w:type="dxa"/>
            <w:gridSpan w:val="6"/>
            <w:tcBorders>
              <w:top w:val="single" w:color="auto" w:sz="8" w:space="0"/>
              <w:left w:val="nil"/>
              <w:bottom w:val="single" w:color="auto" w:sz="4" w:space="0"/>
              <w:right w:val="single" w:color="000000" w:sz="8"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公用经费</w:t>
            </w:r>
          </w:p>
        </w:tc>
      </w:tr>
      <w:tr>
        <w:tblPrEx>
          <w:tblLayout w:type="fixed"/>
          <w:tblCellMar>
            <w:top w:w="0" w:type="dxa"/>
            <w:left w:w="108" w:type="dxa"/>
            <w:bottom w:w="0" w:type="dxa"/>
            <w:right w:w="108" w:type="dxa"/>
          </w:tblCellMar>
        </w:tblPrEx>
        <w:trPr>
          <w:trHeight w:val="300" w:hRule="atLeast"/>
          <w:tblHeader/>
          <w:jc w:val="center"/>
        </w:trPr>
        <w:tc>
          <w:tcPr>
            <w:tcW w:w="1008" w:type="dxa"/>
            <w:vMerge w:val="restart"/>
            <w:tcBorders>
              <w:top w:val="nil"/>
              <w:left w:val="single" w:color="auto" w:sz="8"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经济分类 科目编码</w:t>
            </w:r>
          </w:p>
        </w:tc>
        <w:tc>
          <w:tcPr>
            <w:tcW w:w="3023"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1162"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决算数</w:t>
            </w:r>
          </w:p>
        </w:tc>
        <w:tc>
          <w:tcPr>
            <w:tcW w:w="823"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经济分类科目编码</w:t>
            </w:r>
          </w:p>
        </w:tc>
        <w:tc>
          <w:tcPr>
            <w:tcW w:w="1984"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1042"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决算数</w:t>
            </w:r>
          </w:p>
        </w:tc>
        <w:tc>
          <w:tcPr>
            <w:tcW w:w="801"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经济分类科目编码</w:t>
            </w:r>
          </w:p>
        </w:tc>
        <w:tc>
          <w:tcPr>
            <w:tcW w:w="2551"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1159" w:type="dxa"/>
            <w:vMerge w:val="restart"/>
            <w:tcBorders>
              <w:top w:val="nil"/>
              <w:left w:val="single" w:color="auto" w:sz="4" w:space="0"/>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决算数</w:t>
            </w:r>
          </w:p>
        </w:tc>
      </w:tr>
      <w:tr>
        <w:tblPrEx>
          <w:tblLayout w:type="fixed"/>
          <w:tblCellMar>
            <w:top w:w="0" w:type="dxa"/>
            <w:left w:w="108" w:type="dxa"/>
            <w:bottom w:w="0" w:type="dxa"/>
            <w:right w:w="108" w:type="dxa"/>
          </w:tblCellMar>
        </w:tblPrEx>
        <w:trPr>
          <w:trHeight w:val="300" w:hRule="atLeast"/>
          <w:tblHeader/>
          <w:jc w:val="center"/>
        </w:trPr>
        <w:tc>
          <w:tcPr>
            <w:tcW w:w="1008" w:type="dxa"/>
            <w:vMerge w:val="continue"/>
            <w:tcBorders>
              <w:top w:val="nil"/>
              <w:left w:val="single" w:color="auto" w:sz="8"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302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116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82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1984"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1042"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801"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2551"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1159" w:type="dxa"/>
            <w:vMerge w:val="continue"/>
            <w:tcBorders>
              <w:top w:val="nil"/>
              <w:left w:val="single" w:color="auto" w:sz="4" w:space="0"/>
              <w:bottom w:val="single" w:color="auto" w:sz="4" w:space="0"/>
              <w:right w:val="single" w:color="auto" w:sz="8" w:space="0"/>
            </w:tcBorders>
            <w:vAlign w:val="center"/>
          </w:tcPr>
          <w:p>
            <w:pPr>
              <w:widowControl/>
              <w:spacing w:line="300" w:lineRule="exact"/>
              <w:jc w:val="left"/>
              <w:rPr>
                <w:rFonts w:ascii="仿宋_GB2312" w:hAnsi="宋体" w:eastAsia="仿宋_GB2312" w:cs="宋体"/>
                <w:color w:val="000000"/>
                <w:kern w:val="0"/>
                <w:sz w:val="22"/>
                <w:szCs w:val="22"/>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162"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1,016.87</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119.77</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债务利息及费用支出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30101</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304.44</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30201</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16.49</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30701</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国内债务付息</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30102</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319.96</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30202</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2.18</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30702</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国外债务付息</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30103</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155.01</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30203</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咨询费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30703</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国内债务发行费用</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30106</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30204</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手续费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30704</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国外债务发行费用</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30107</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18.28</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30205</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资本性支出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30108</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85.27</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30206</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0.18</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31001</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房屋建筑物购建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30109</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职业年金缴费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2.96</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30207</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12.18</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31002</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办公设备购置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30110</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34.48</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30208</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31003</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专用设备购置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30111</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1.44</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31005</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基础设施建设</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30112</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3.11</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30211</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3.92</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31006</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大型修缮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30113</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93.38</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30212</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因公出国（境）费用</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31007</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信息网络及软件购置更新</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30114</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30213</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0.38</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31008</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物资储备</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30199</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30214</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租赁费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0.04</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土地补偿</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31.55</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30215</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会议费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0.41</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31010</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安置补助</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30301</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30216</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0.03</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31011</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地上附着物和青苗补偿</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30302</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退休费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23.78</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30217</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31012</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拆迁补偿</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30303</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退职（役）费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30218</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专用材料费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31013</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公务用车购置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30304</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抚恤金</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30224</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被装购置费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其他交通工具购置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30305</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1.02</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30225</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专用燃料费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31021</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文物和陈列品购置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30306</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救济费</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1.04</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30226</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3.72</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31022</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无形资产购置</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30307</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30227</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委托业务费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8.26</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31099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其他资本性支出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30308</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助学金</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30228</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9.49</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对企业补助</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30309</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4.41</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31201</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资本金注入</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30310</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个人农业生产补贴</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30231</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2.26</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31203</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政府投资基金股权投资</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30399</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其他对个人和家庭的补助</w:t>
            </w: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1.30</w:t>
            </w: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30239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38.58</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31204</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费用补贴</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30240</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税金及附加费用</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31205</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利息补贴</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30299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19.42</w:t>
            </w: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31299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其他对企业补助</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其他支出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39906</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赠与</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39907</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国家赔偿费用支出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39908</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对民间非营利组织和群众性自治组织补贴</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116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042"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0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39999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其他支出</w:t>
            </w:r>
          </w:p>
        </w:tc>
        <w:tc>
          <w:tcPr>
            <w:tcW w:w="1159" w:type="dxa"/>
            <w:tcBorders>
              <w:top w:val="nil"/>
              <w:left w:val="nil"/>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20" w:hRule="atLeast"/>
          <w:jc w:val="center"/>
        </w:trPr>
        <w:tc>
          <w:tcPr>
            <w:tcW w:w="4031" w:type="dxa"/>
            <w:gridSpan w:val="2"/>
            <w:tcBorders>
              <w:top w:val="single" w:color="auto" w:sz="4" w:space="0"/>
              <w:left w:val="single" w:color="auto" w:sz="8" w:space="0"/>
              <w:bottom w:val="single" w:color="auto" w:sz="8"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人员经费合计</w:t>
            </w:r>
          </w:p>
        </w:tc>
        <w:tc>
          <w:tcPr>
            <w:tcW w:w="1162"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1,048.42</w:t>
            </w:r>
          </w:p>
        </w:tc>
        <w:tc>
          <w:tcPr>
            <w:tcW w:w="7201" w:type="dxa"/>
            <w:gridSpan w:val="5"/>
            <w:tcBorders>
              <w:top w:val="single" w:color="auto" w:sz="4" w:space="0"/>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公用经费合计</w:t>
            </w:r>
          </w:p>
        </w:tc>
        <w:tc>
          <w:tcPr>
            <w:tcW w:w="1159" w:type="dxa"/>
            <w:tcBorders>
              <w:top w:val="nil"/>
              <w:left w:val="nil"/>
              <w:bottom w:val="single" w:color="auto" w:sz="8"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119.77</w:t>
            </w:r>
          </w:p>
        </w:tc>
      </w:tr>
    </w:tbl>
    <w:p>
      <w:pPr>
        <w:spacing w:line="400" w:lineRule="exact"/>
        <w:ind w:firstLine="108" w:firstLineChars="50"/>
        <w:jc w:val="left"/>
        <w:rPr>
          <w:rFonts w:ascii="仿宋_GB2312" w:hAnsi="宋体" w:eastAsia="仿宋_GB2312"/>
          <w:sz w:val="22"/>
          <w:szCs w:val="22"/>
        </w:rPr>
      </w:pPr>
      <w:r>
        <w:rPr>
          <w:rFonts w:hint="eastAsia" w:ascii="仿宋_GB2312" w:hAnsi="宋体" w:eastAsia="仿宋_GB2312"/>
          <w:sz w:val="22"/>
          <w:szCs w:val="22"/>
        </w:rPr>
        <w:t>注:本表反映部门本年度一般公共预算财政拨款基本支出明细情况。本表金额转化为万元时，因四舍五入可能出现尾差。</w:t>
      </w:r>
    </w:p>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一般公共预算财政拨款“三公”经费支出决算表</w:t>
      </w:r>
    </w:p>
    <w:p>
      <w:pPr>
        <w:wordWrap w:val="0"/>
        <w:spacing w:line="400" w:lineRule="exact"/>
        <w:jc w:val="right"/>
        <w:rPr>
          <w:rFonts w:ascii="楷体_GB2312" w:eastAsia="楷体_GB2312"/>
          <w:sz w:val="28"/>
          <w:szCs w:val="28"/>
        </w:rPr>
      </w:pPr>
      <w:r>
        <w:rPr>
          <w:rFonts w:hint="eastAsia" w:ascii="方正小标宋简体" w:eastAsia="方正小标宋简体"/>
          <w:sz w:val="44"/>
          <w:szCs w:val="44"/>
        </w:rPr>
        <w:t>　</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公开07表</w:t>
      </w:r>
    </w:p>
    <w:p>
      <w:pPr>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部门：济宁市应急管理局                                    </w:t>
      </w:r>
      <w:r>
        <w:rPr>
          <w:rFonts w:ascii="楷体_GB2312" w:eastAsia="楷体_GB2312"/>
          <w:sz w:val="28"/>
          <w:szCs w:val="28"/>
        </w:rPr>
        <w:t xml:space="preserve"> </w:t>
      </w:r>
      <w:r>
        <w:rPr>
          <w:rFonts w:hint="eastAsia" w:ascii="楷体_GB2312" w:eastAsia="楷体_GB2312"/>
          <w:sz w:val="28"/>
          <w:szCs w:val="28"/>
        </w:rPr>
        <w:t xml:space="preserve">                     单位：万元</w:t>
      </w:r>
    </w:p>
    <w:tbl>
      <w:tblPr>
        <w:tblStyle w:val="4"/>
        <w:tblW w:w="13256" w:type="dxa"/>
        <w:jc w:val="center"/>
        <w:tblInd w:w="0" w:type="dxa"/>
        <w:tblLayout w:type="fixed"/>
        <w:tblCellMar>
          <w:top w:w="0" w:type="dxa"/>
          <w:left w:w="108" w:type="dxa"/>
          <w:bottom w:w="0" w:type="dxa"/>
          <w:right w:w="108" w:type="dxa"/>
        </w:tblCellMar>
      </w:tblPr>
      <w:tblGrid>
        <w:gridCol w:w="1179"/>
        <w:gridCol w:w="1195"/>
        <w:gridCol w:w="1180"/>
        <w:gridCol w:w="1180"/>
        <w:gridCol w:w="1188"/>
        <w:gridCol w:w="962"/>
        <w:gridCol w:w="1098"/>
        <w:gridCol w:w="1143"/>
        <w:gridCol w:w="851"/>
        <w:gridCol w:w="1132"/>
        <w:gridCol w:w="1164"/>
        <w:gridCol w:w="984"/>
      </w:tblGrid>
      <w:tr>
        <w:tblPrEx>
          <w:tblLayout w:type="fixed"/>
          <w:tblCellMar>
            <w:top w:w="0" w:type="dxa"/>
            <w:left w:w="108" w:type="dxa"/>
            <w:bottom w:w="0" w:type="dxa"/>
            <w:right w:w="108" w:type="dxa"/>
          </w:tblCellMar>
        </w:tblPrEx>
        <w:trPr>
          <w:trHeight w:val="862" w:hRule="atLeast"/>
          <w:jc w:val="center"/>
        </w:trPr>
        <w:tc>
          <w:tcPr>
            <w:tcW w:w="6884" w:type="dxa"/>
            <w:gridSpan w:val="6"/>
            <w:tcBorders>
              <w:top w:val="single" w:color="auto" w:sz="8" w:space="0"/>
              <w:left w:val="single" w:color="auto" w:sz="8" w:space="0"/>
              <w:bottom w:val="single" w:color="auto" w:sz="4"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预 算 数</w:t>
            </w:r>
          </w:p>
        </w:tc>
        <w:tc>
          <w:tcPr>
            <w:tcW w:w="6372"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决 算 数　</w:t>
            </w:r>
          </w:p>
        </w:tc>
      </w:tr>
      <w:tr>
        <w:tblPrEx>
          <w:tblLayout w:type="fixed"/>
          <w:tblCellMar>
            <w:top w:w="0" w:type="dxa"/>
            <w:left w:w="108" w:type="dxa"/>
            <w:bottom w:w="0" w:type="dxa"/>
            <w:right w:w="108" w:type="dxa"/>
          </w:tblCellMar>
        </w:tblPrEx>
        <w:trPr>
          <w:trHeight w:val="862" w:hRule="atLeast"/>
          <w:jc w:val="center"/>
        </w:trPr>
        <w:tc>
          <w:tcPr>
            <w:tcW w:w="1179" w:type="dxa"/>
            <w:vMerge w:val="restart"/>
            <w:tcBorders>
              <w:top w:val="nil"/>
              <w:left w:val="single" w:color="auto" w:sz="8"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9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54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公务用车购置及运行费</w:t>
            </w:r>
          </w:p>
        </w:tc>
        <w:tc>
          <w:tcPr>
            <w:tcW w:w="962" w:type="dxa"/>
            <w:vMerge w:val="restart"/>
            <w:tcBorders>
              <w:top w:val="nil"/>
              <w:left w:val="single" w:color="auto" w:sz="4" w:space="0"/>
              <w:bottom w:val="single" w:color="auto" w:sz="4" w:space="0"/>
              <w:right w:val="single" w:color="000000" w:sz="8"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接待费</w:t>
            </w:r>
          </w:p>
        </w:tc>
        <w:tc>
          <w:tcPr>
            <w:tcW w:w="1098"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43"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147" w:type="dxa"/>
            <w:gridSpan w:val="3"/>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公务用车购置及运行费</w:t>
            </w:r>
          </w:p>
        </w:tc>
        <w:tc>
          <w:tcPr>
            <w:tcW w:w="984"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接待费</w:t>
            </w:r>
          </w:p>
        </w:tc>
      </w:tr>
      <w:tr>
        <w:tblPrEx>
          <w:tblLayout w:type="fixed"/>
          <w:tblCellMar>
            <w:top w:w="0" w:type="dxa"/>
            <w:left w:w="108" w:type="dxa"/>
            <w:bottom w:w="0" w:type="dxa"/>
            <w:right w:w="108" w:type="dxa"/>
          </w:tblCellMar>
        </w:tblPrEx>
        <w:trPr>
          <w:trHeight w:val="862" w:hRule="atLeast"/>
          <w:jc w:val="center"/>
        </w:trPr>
        <w:tc>
          <w:tcPr>
            <w:tcW w:w="1179" w:type="dxa"/>
            <w:vMerge w:val="continue"/>
            <w:tcBorders>
              <w:top w:val="nil"/>
              <w:left w:val="single" w:color="auto" w:sz="8"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1195"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1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公务用车运行费</w:t>
            </w:r>
          </w:p>
        </w:tc>
        <w:tc>
          <w:tcPr>
            <w:tcW w:w="962" w:type="dxa"/>
            <w:vMerge w:val="continue"/>
            <w:tcBorders>
              <w:top w:val="nil"/>
              <w:left w:val="single" w:color="auto" w:sz="4" w:space="0"/>
              <w:bottom w:val="single" w:color="auto" w:sz="4" w:space="0"/>
              <w:right w:val="single" w:color="000000" w:sz="8"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109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00" w:lineRule="exact"/>
              <w:jc w:val="left"/>
              <w:rPr>
                <w:rFonts w:ascii="仿宋_GB2312" w:hAnsi="宋体" w:eastAsia="仿宋_GB2312" w:cs="宋体"/>
                <w:kern w:val="0"/>
                <w:sz w:val="22"/>
                <w:szCs w:val="22"/>
              </w:rPr>
            </w:pPr>
          </w:p>
        </w:tc>
        <w:tc>
          <w:tcPr>
            <w:tcW w:w="114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00" w:lineRule="exact"/>
              <w:jc w:val="left"/>
              <w:rPr>
                <w:rFonts w:ascii="仿宋_GB2312" w:hAnsi="宋体" w:eastAsia="仿宋_GB2312" w:cs="宋体"/>
                <w:kern w:val="0"/>
                <w:sz w:val="22"/>
                <w:szCs w:val="22"/>
              </w:rPr>
            </w:pPr>
          </w:p>
        </w:tc>
        <w:tc>
          <w:tcPr>
            <w:tcW w:w="85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公务用车运行费</w:t>
            </w:r>
          </w:p>
        </w:tc>
        <w:tc>
          <w:tcPr>
            <w:tcW w:w="984" w:type="dxa"/>
            <w:vMerge w:val="continue"/>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623" w:hRule="atLeast"/>
          <w:jc w:val="center"/>
        </w:trPr>
        <w:tc>
          <w:tcPr>
            <w:tcW w:w="1179" w:type="dxa"/>
            <w:tcBorders>
              <w:top w:val="nil"/>
              <w:left w:val="single" w:color="auto" w:sz="8" w:space="0"/>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195"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188"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962" w:type="dxa"/>
            <w:tcBorders>
              <w:top w:val="nil"/>
              <w:left w:val="nil"/>
              <w:bottom w:val="single" w:color="auto" w:sz="8" w:space="0"/>
              <w:right w:val="single" w:color="000000" w:sz="8"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0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w:t>
            </w:r>
          </w:p>
        </w:tc>
        <w:tc>
          <w:tcPr>
            <w:tcW w:w="11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8</w:t>
            </w:r>
          </w:p>
        </w:tc>
        <w:tc>
          <w:tcPr>
            <w:tcW w:w="85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w:t>
            </w:r>
          </w:p>
        </w:tc>
        <w:tc>
          <w:tcPr>
            <w:tcW w:w="11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11</w:t>
            </w:r>
          </w:p>
        </w:tc>
        <w:tc>
          <w:tcPr>
            <w:tcW w:w="98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12</w:t>
            </w:r>
          </w:p>
        </w:tc>
      </w:tr>
      <w:tr>
        <w:tblPrEx>
          <w:tblLayout w:type="fixed"/>
          <w:tblCellMar>
            <w:top w:w="0" w:type="dxa"/>
            <w:left w:w="108" w:type="dxa"/>
            <w:bottom w:w="0" w:type="dxa"/>
            <w:right w:w="108" w:type="dxa"/>
          </w:tblCellMar>
        </w:tblPrEx>
        <w:trPr>
          <w:trHeight w:val="1296" w:hRule="atLeast"/>
          <w:jc w:val="center"/>
        </w:trPr>
        <w:tc>
          <w:tcPr>
            <w:tcW w:w="1179" w:type="dxa"/>
            <w:tcBorders>
              <w:top w:val="nil"/>
              <w:left w:val="single" w:color="auto" w:sz="8" w:space="0"/>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5.50</w:t>
            </w:r>
          </w:p>
        </w:tc>
        <w:tc>
          <w:tcPr>
            <w:tcW w:w="1195"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4.50</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1188"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4.50</w:t>
            </w:r>
          </w:p>
        </w:tc>
        <w:tc>
          <w:tcPr>
            <w:tcW w:w="962" w:type="dxa"/>
            <w:tcBorders>
              <w:top w:val="nil"/>
              <w:left w:val="nil"/>
              <w:bottom w:val="single" w:color="auto" w:sz="8" w:space="0"/>
              <w:right w:val="single" w:color="000000" w:sz="8"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1.00</w:t>
            </w:r>
          </w:p>
        </w:tc>
        <w:tc>
          <w:tcPr>
            <w:tcW w:w="10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3.86</w:t>
            </w:r>
          </w:p>
        </w:tc>
        <w:tc>
          <w:tcPr>
            <w:tcW w:w="11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85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3.06</w:t>
            </w:r>
          </w:p>
        </w:tc>
        <w:tc>
          <w:tcPr>
            <w:tcW w:w="11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0.00</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3.06</w:t>
            </w:r>
          </w:p>
        </w:tc>
        <w:tc>
          <w:tcPr>
            <w:tcW w:w="98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0.80</w:t>
            </w:r>
          </w:p>
        </w:tc>
      </w:tr>
    </w:tbl>
    <w:p>
      <w:pPr>
        <w:spacing w:line="360" w:lineRule="exact"/>
        <w:ind w:firstLine="108" w:firstLineChars="50"/>
        <w:rPr>
          <w:rFonts w:ascii="仿宋_GB2312" w:hAnsi="宋体" w:eastAsia="仿宋_GB2312"/>
          <w:sz w:val="22"/>
          <w:szCs w:val="22"/>
        </w:rPr>
      </w:pPr>
      <w:r>
        <w:rPr>
          <w:rFonts w:hint="eastAsia" w:ascii="仿宋_GB2312" w:hAnsi="宋体" w:eastAsia="仿宋_GB2312"/>
          <w:sz w:val="22"/>
          <w:szCs w:val="22"/>
        </w:rPr>
        <w:t>注：本表反映部门本年度“三公”经费支出预决算情况。其中：预算数为“三公”经费年初预算数，决算数包括当年一般公共预算财政拨款</w:t>
      </w:r>
    </w:p>
    <w:p>
      <w:pPr>
        <w:spacing w:line="360" w:lineRule="exact"/>
        <w:ind w:firstLine="540" w:firstLineChars="250"/>
        <w:rPr>
          <w:rFonts w:ascii="仿宋_GB2312" w:hAnsi="宋体" w:eastAsia="仿宋_GB2312"/>
          <w:sz w:val="22"/>
          <w:szCs w:val="22"/>
        </w:rPr>
      </w:pPr>
      <w:r>
        <w:rPr>
          <w:rFonts w:hint="eastAsia" w:ascii="仿宋_GB2312" w:hAnsi="宋体" w:eastAsia="仿宋_GB2312"/>
          <w:sz w:val="22"/>
          <w:szCs w:val="22"/>
        </w:rPr>
        <w:t>和以前年度结转资金安排的实际支出。本表金额转化为万元时，因四舍五入可能出现尾差。</w:t>
      </w:r>
    </w:p>
    <w:p>
      <w:pPr>
        <w:ind w:firstLine="108" w:firstLineChars="50"/>
        <w:rPr>
          <w:rFonts w:ascii="仿宋_GB2312" w:hAnsi="宋体" w:eastAsia="仿宋_GB2312"/>
          <w:sz w:val="22"/>
          <w:szCs w:val="22"/>
        </w:rPr>
      </w:pPr>
    </w:p>
    <w:p>
      <w:pPr>
        <w:ind w:firstLine="108" w:firstLineChars="50"/>
        <w:rPr>
          <w:rFonts w:ascii="仿宋_GB2312" w:hAnsi="宋体" w:eastAsia="仿宋_GB2312"/>
          <w:sz w:val="22"/>
          <w:szCs w:val="22"/>
        </w:rPr>
      </w:pPr>
    </w:p>
    <w:p>
      <w:pPr>
        <w:jc w:val="center"/>
        <w:rPr>
          <w:rFonts w:ascii="方正小标宋简体" w:eastAsia="方正小标宋简体"/>
          <w:sz w:val="44"/>
          <w:szCs w:val="44"/>
        </w:rPr>
      </w:pPr>
      <w:r>
        <w:rPr>
          <w:rFonts w:hint="eastAsia" w:ascii="方正小标宋简体" w:eastAsia="方正小标宋简体"/>
          <w:sz w:val="44"/>
          <w:szCs w:val="44"/>
        </w:rPr>
        <w:t>政府性基金预算财政拨款收入支出决算表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公开08表</w:t>
      </w:r>
    </w:p>
    <w:p>
      <w:pPr>
        <w:spacing w:line="400" w:lineRule="exact"/>
        <w:ind w:firstLine="138" w:firstLineChars="50"/>
        <w:jc w:val="right"/>
        <w:rPr>
          <w:rFonts w:ascii="楷体_GB2312" w:eastAsia="楷体_GB2312"/>
          <w:sz w:val="28"/>
          <w:szCs w:val="28"/>
        </w:rPr>
      </w:pPr>
      <w:r>
        <w:rPr>
          <w:rFonts w:hint="eastAsia" w:ascii="楷体_GB2312" w:eastAsia="楷体_GB2312"/>
          <w:sz w:val="28"/>
          <w:szCs w:val="28"/>
        </w:rPr>
        <w:t xml:space="preserve">部门：济宁市应急管理局                                                              </w:t>
      </w:r>
      <w:r>
        <w:rPr>
          <w:rFonts w:ascii="楷体_GB2312" w:eastAsia="楷体_GB2312"/>
          <w:sz w:val="28"/>
          <w:szCs w:val="28"/>
        </w:rPr>
        <w:t xml:space="preserve"> </w:t>
      </w:r>
      <w:r>
        <w:rPr>
          <w:rFonts w:hint="eastAsia" w:ascii="楷体_GB2312" w:eastAsia="楷体_GB2312"/>
          <w:sz w:val="28"/>
          <w:szCs w:val="28"/>
        </w:rPr>
        <w:t xml:space="preserve"> 单位：万元</w:t>
      </w:r>
    </w:p>
    <w:tbl>
      <w:tblPr>
        <w:tblStyle w:val="4"/>
        <w:tblpPr w:leftFromText="180" w:rightFromText="180" w:vertAnchor="text" w:tblpXSpec="center" w:tblpY="1"/>
        <w:tblOverlap w:val="never"/>
        <w:tblW w:w="13210" w:type="dxa"/>
        <w:tblInd w:w="0" w:type="dxa"/>
        <w:tblLayout w:type="fixed"/>
        <w:tblCellMar>
          <w:top w:w="0" w:type="dxa"/>
          <w:left w:w="108" w:type="dxa"/>
          <w:bottom w:w="0" w:type="dxa"/>
          <w:right w:w="108" w:type="dxa"/>
        </w:tblCellMar>
      </w:tblPr>
      <w:tblGrid>
        <w:gridCol w:w="1372"/>
        <w:gridCol w:w="56"/>
        <w:gridCol w:w="1375"/>
        <w:gridCol w:w="1785"/>
        <w:gridCol w:w="1707"/>
        <w:gridCol w:w="1708"/>
        <w:gridCol w:w="1708"/>
        <w:gridCol w:w="1708"/>
        <w:gridCol w:w="1791"/>
      </w:tblGrid>
      <w:tr>
        <w:tblPrEx>
          <w:tblLayout w:type="fixed"/>
          <w:tblCellMar>
            <w:top w:w="0" w:type="dxa"/>
            <w:left w:w="108" w:type="dxa"/>
            <w:bottom w:w="0" w:type="dxa"/>
            <w:right w:w="108" w:type="dxa"/>
          </w:tblCellMar>
        </w:tblPrEx>
        <w:trPr>
          <w:trHeight w:val="453" w:hRule="atLeast"/>
        </w:trPr>
        <w:tc>
          <w:tcPr>
            <w:tcW w:w="2803"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78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年初结转和结余</w:t>
            </w:r>
          </w:p>
        </w:tc>
        <w:tc>
          <w:tcPr>
            <w:tcW w:w="1707"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本年收入</w:t>
            </w:r>
          </w:p>
        </w:tc>
        <w:tc>
          <w:tcPr>
            <w:tcW w:w="5124"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c>
          <w:tcPr>
            <w:tcW w:w="1791"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年末结转和结余</w:t>
            </w:r>
          </w:p>
        </w:tc>
      </w:tr>
      <w:tr>
        <w:tblPrEx>
          <w:tblLayout w:type="fixed"/>
          <w:tblCellMar>
            <w:top w:w="0" w:type="dxa"/>
            <w:left w:w="108" w:type="dxa"/>
            <w:bottom w:w="0" w:type="dxa"/>
            <w:right w:w="108" w:type="dxa"/>
          </w:tblCellMar>
        </w:tblPrEx>
        <w:trPr>
          <w:trHeight w:val="599" w:hRule="atLeast"/>
        </w:trPr>
        <w:tc>
          <w:tcPr>
            <w:tcW w:w="1428"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37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785"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07"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791"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54" w:hRule="atLeast"/>
        </w:trPr>
        <w:tc>
          <w:tcPr>
            <w:tcW w:w="2803"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785"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707"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Layout w:type="fixed"/>
          <w:tblCellMar>
            <w:top w:w="0" w:type="dxa"/>
            <w:left w:w="108" w:type="dxa"/>
            <w:bottom w:w="0" w:type="dxa"/>
            <w:right w:w="108" w:type="dxa"/>
          </w:tblCellMar>
        </w:tblPrEx>
        <w:trPr>
          <w:trHeight w:val="454" w:hRule="atLeast"/>
        </w:trPr>
        <w:tc>
          <w:tcPr>
            <w:tcW w:w="2803"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785"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w:t>
            </w:r>
          </w:p>
        </w:tc>
        <w:tc>
          <w:tcPr>
            <w:tcW w:w="1707"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w:t>
            </w: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w:t>
            </w:r>
          </w:p>
        </w:tc>
      </w:tr>
      <w:tr>
        <w:tblPrEx>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31" w:type="dxa"/>
            <w:gridSpan w:val="2"/>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85"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31" w:type="dxa"/>
            <w:gridSpan w:val="2"/>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85"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31" w:type="dxa"/>
            <w:gridSpan w:val="2"/>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85"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8" w:type="dxa"/>
            <w:tcBorders>
              <w:top w:val="single" w:color="auto" w:sz="4" w:space="0"/>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31" w:type="dxa"/>
            <w:gridSpan w:val="2"/>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85"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31" w:type="dxa"/>
            <w:gridSpan w:val="2"/>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85"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r>
        <w:tblPrEx>
          <w:tblLayout w:type="fixed"/>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431" w:type="dxa"/>
            <w:gridSpan w:val="2"/>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85"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179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22"/>
                <w:szCs w:val="22"/>
              </w:rPr>
            </w:pPr>
          </w:p>
        </w:tc>
      </w:tr>
    </w:tbl>
    <w:p>
      <w:pPr>
        <w:spacing w:line="300" w:lineRule="exact"/>
        <w:ind w:firstLine="108" w:firstLineChars="50"/>
        <w:rPr>
          <w:rFonts w:ascii="仿宋_GB2312" w:hAnsi="宋体" w:eastAsia="仿宋_GB2312"/>
          <w:sz w:val="22"/>
          <w:szCs w:val="22"/>
        </w:rPr>
      </w:pPr>
      <w:r>
        <w:rPr>
          <w:rFonts w:hint="eastAsia" w:ascii="仿宋_GB2312" w:hAnsi="宋体" w:eastAsia="仿宋_GB2312"/>
          <w:sz w:val="22"/>
          <w:szCs w:val="22"/>
        </w:rPr>
        <w:t>注：1.本表反映部门本年度政府性基金预算财政拨款收入、支出及结转和结余情况。本表金额转化为万元时，因四舍五入可能出现尾差。</w:t>
      </w:r>
    </w:p>
    <w:p>
      <w:pPr>
        <w:spacing w:line="300" w:lineRule="exact"/>
        <w:ind w:firstLine="540" w:firstLineChars="250"/>
        <w:rPr>
          <w:rFonts w:ascii="仿宋_GB2312" w:hAnsi="宋体" w:eastAsia="仿宋_GB2312"/>
          <w:sz w:val="22"/>
          <w:szCs w:val="22"/>
        </w:rPr>
      </w:pPr>
      <w:r>
        <w:rPr>
          <w:rFonts w:hint="eastAsia" w:ascii="仿宋_GB2312" w:hAnsi="宋体" w:eastAsia="仿宋_GB2312"/>
          <w:sz w:val="22"/>
          <w:szCs w:val="22"/>
        </w:rPr>
        <w:t>2.济宁市应急管理局没有政府性基金收入，也没有政府性基金安排支出，故本表无数据</w:t>
      </w:r>
    </w:p>
    <w:p>
      <w:pPr>
        <w:ind w:firstLine="108" w:firstLineChars="50"/>
        <w:rPr>
          <w:rFonts w:ascii="仿宋_GB2312" w:hAnsi="宋体" w:eastAsia="仿宋_GB2312"/>
          <w:sz w:val="22"/>
          <w:szCs w:val="22"/>
        </w:rPr>
      </w:pPr>
    </w:p>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2"/>
        </w:rPr>
      </w:pPr>
    </w:p>
    <w:p>
      <w:pPr>
        <w:jc w:val="center"/>
        <w:rPr>
          <w:rFonts w:ascii="方正小标宋简体" w:eastAsia="方正小标宋简体"/>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第三部分</w:t>
      </w:r>
    </w:p>
    <w:p>
      <w:pPr>
        <w:jc w:val="center"/>
        <w:rPr>
          <w:rFonts w:ascii="方正小标宋简体" w:eastAsia="方正小标宋简体"/>
          <w:spacing w:val="60"/>
          <w:sz w:val="42"/>
        </w:rPr>
      </w:pPr>
    </w:p>
    <w:p>
      <w:pPr>
        <w:spacing w:line="800" w:lineRule="exact"/>
        <w:jc w:val="center"/>
        <w:rPr>
          <w:rFonts w:ascii="方正小标宋简体" w:eastAsia="方正小标宋简体"/>
          <w:spacing w:val="60"/>
          <w:sz w:val="48"/>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2019年度部门决算情况说明</w:t>
      </w:r>
    </w:p>
    <w:p>
      <w:pPr>
        <w:ind w:firstLine="640" w:firstLineChars="200"/>
        <w:rPr>
          <w:rFonts w:ascii="仿宋_GB2312" w:eastAsia="仿宋_GB2312"/>
          <w:szCs w:val="32"/>
        </w:rPr>
      </w:pPr>
      <w:r>
        <w:rPr>
          <w:rFonts w:hint="eastAsia" w:ascii="黑体" w:hAnsi="黑体" w:eastAsia="黑体"/>
          <w:szCs w:val="32"/>
        </w:rPr>
        <w:t>一、收入支出决算总体情况说明</w:t>
      </w:r>
    </w:p>
    <w:p>
      <w:pPr>
        <w:ind w:firstLine="640" w:firstLineChars="200"/>
        <w:rPr>
          <w:rFonts w:ascii="仿宋_GB2312" w:eastAsia="仿宋_GB2312"/>
          <w:szCs w:val="32"/>
        </w:rPr>
      </w:pPr>
      <w:r>
        <w:rPr>
          <w:rFonts w:hint="eastAsia" w:ascii="仿宋_GB2312" w:eastAsia="仿宋_GB2312"/>
          <w:szCs w:val="32"/>
        </w:rPr>
        <w:t>2019 年度收、支总计 4381.94 万元与 2018 年相比，收、支总计各增加 1441.96 万元，增长 49.05%。主要是2019年机构改革后，省级安全生产和应急管理专项资金增加，应急管理局新成立了 2 个事业单位，增加了人员，收支决算相应增加。</w:t>
      </w:r>
    </w:p>
    <w:p>
      <w:pPr>
        <w:ind w:firstLine="640" w:firstLineChars="200"/>
        <w:jc w:val="center"/>
      </w:pPr>
      <w:r>
        <w:rPr>
          <w:rFonts w:hint="eastAsia"/>
        </w:rPr>
        <w:drawing>
          <wp:inline distT="0" distB="0" distL="114300" distR="114300">
            <wp:extent cx="5080000" cy="3810000"/>
            <wp:effectExtent l="4445" t="4445" r="8255" b="82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640" w:firstLineChars="200"/>
        <w:jc w:val="center"/>
        <w:rPr>
          <w:highlight w:val="red"/>
        </w:rPr>
      </w:pPr>
      <w:r>
        <w:rPr>
          <w:rFonts w:hint="eastAsia"/>
        </w:rPr>
        <w:t>2019年度收、支决算总计变动情况图</w:t>
      </w:r>
    </w:p>
    <w:p>
      <w:pPr>
        <w:ind w:firstLine="640" w:firstLineChars="200"/>
        <w:rPr>
          <w:rFonts w:ascii="黑体" w:hAnsi="黑体" w:eastAsia="黑体"/>
          <w:szCs w:val="32"/>
        </w:rPr>
      </w:pPr>
      <w:r>
        <w:rPr>
          <w:rFonts w:hint="eastAsia" w:ascii="黑体" w:hAnsi="黑体" w:eastAsia="黑体"/>
          <w:szCs w:val="32"/>
        </w:rPr>
        <w:t>二、收入决算情况说明</w:t>
      </w:r>
    </w:p>
    <w:p>
      <w:pPr>
        <w:ind w:firstLine="640" w:firstLineChars="200"/>
        <w:rPr>
          <w:rFonts w:ascii="仿宋_GB2312" w:eastAsia="仿宋_GB2312"/>
          <w:szCs w:val="32"/>
        </w:rPr>
      </w:pPr>
      <w:r>
        <w:rPr>
          <w:rFonts w:hint="eastAsia" w:ascii="仿宋_GB2312" w:eastAsia="仿宋_GB2312"/>
          <w:szCs w:val="32"/>
        </w:rPr>
        <w:t>本年收入合计 3008.47 万元，其中：财政拨款收入2988.45 万元，占99.33%；其他收入20.02 万元，占 0.67%。</w:t>
      </w:r>
    </w:p>
    <w:p>
      <w:pPr>
        <w:ind w:firstLine="640" w:firstLineChars="200"/>
        <w:jc w:val="center"/>
      </w:pPr>
      <w:r>
        <w:drawing>
          <wp:inline distT="0" distB="0" distL="114300" distR="114300">
            <wp:extent cx="2934970" cy="1772920"/>
            <wp:effectExtent l="0" t="0" r="11430"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2934970" cy="1772920"/>
                    </a:xfrm>
                    <a:prstGeom prst="rect">
                      <a:avLst/>
                    </a:prstGeom>
                    <a:noFill/>
                    <a:ln>
                      <a:noFill/>
                    </a:ln>
                  </pic:spPr>
                </pic:pic>
              </a:graphicData>
            </a:graphic>
          </wp:inline>
        </w:drawing>
      </w:r>
    </w:p>
    <w:p>
      <w:pPr>
        <w:ind w:firstLine="420" w:firstLineChars="200"/>
        <w:jc w:val="center"/>
      </w:pPr>
      <w:r>
        <w:rPr>
          <w:rFonts w:hint="eastAsia" w:ascii="仿宋_GB2312" w:eastAsia="仿宋_GB2312"/>
          <w:sz w:val="21"/>
          <w:szCs w:val="21"/>
        </w:rPr>
        <w:t>2019年度收入决算结构图</w:t>
      </w:r>
    </w:p>
    <w:p>
      <w:pPr>
        <w:ind w:firstLine="640" w:firstLineChars="200"/>
        <w:rPr>
          <w:rFonts w:ascii="黑体" w:hAnsi="黑体" w:eastAsia="黑体"/>
          <w:szCs w:val="32"/>
        </w:rPr>
      </w:pPr>
      <w:r>
        <w:rPr>
          <w:rFonts w:hint="eastAsia" w:ascii="黑体" w:hAnsi="黑体" w:eastAsia="黑体"/>
          <w:szCs w:val="32"/>
        </w:rPr>
        <w:t>三、支出决算情况说明</w:t>
      </w:r>
    </w:p>
    <w:p>
      <w:pPr>
        <w:ind w:firstLine="640" w:firstLineChars="200"/>
        <w:rPr>
          <w:rFonts w:ascii="仿宋_GB2312" w:eastAsia="仿宋_GB2312"/>
          <w:szCs w:val="32"/>
        </w:rPr>
      </w:pPr>
      <w:r>
        <w:rPr>
          <w:rFonts w:hint="eastAsia" w:ascii="仿宋_GB2312" w:eastAsia="仿宋_GB2312"/>
          <w:szCs w:val="32"/>
        </w:rPr>
        <w:t>本年支出合计3387.75 万元，其中：基本支出 1168.19万元，占 34.48%；项目支出 2219.56 万元，占65.52%。</w:t>
      </w:r>
    </w:p>
    <w:p>
      <w:pPr>
        <w:ind w:firstLine="640" w:firstLineChars="200"/>
        <w:jc w:val="center"/>
        <w:rPr>
          <w:rFonts w:ascii="仿宋_GB2312" w:eastAsia="仿宋_GB2312"/>
          <w:szCs w:val="32"/>
        </w:rPr>
      </w:pPr>
      <w:r>
        <w:drawing>
          <wp:inline distT="0" distB="0" distL="114300" distR="114300">
            <wp:extent cx="3826510" cy="2309495"/>
            <wp:effectExtent l="0" t="0" r="8890" b="190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3826510" cy="2309495"/>
                    </a:xfrm>
                    <a:prstGeom prst="rect">
                      <a:avLst/>
                    </a:prstGeom>
                    <a:noFill/>
                    <a:ln>
                      <a:noFill/>
                    </a:ln>
                  </pic:spPr>
                </pic:pic>
              </a:graphicData>
            </a:graphic>
          </wp:inline>
        </w:drawing>
      </w:r>
    </w:p>
    <w:p>
      <w:pPr>
        <w:ind w:firstLine="560" w:firstLineChars="200"/>
        <w:jc w:val="center"/>
        <w:rPr>
          <w:rFonts w:ascii="仿宋_GB2312" w:eastAsia="仿宋_GB2312"/>
          <w:bCs/>
          <w:sz w:val="28"/>
          <w:szCs w:val="28"/>
        </w:rPr>
      </w:pPr>
      <w:r>
        <w:rPr>
          <w:rFonts w:hint="eastAsia" w:ascii="仿宋_GB2312" w:eastAsia="仿宋_GB2312"/>
          <w:bCs/>
          <w:sz w:val="28"/>
          <w:szCs w:val="28"/>
        </w:rPr>
        <w:t>2019年度支出决算结构图</w:t>
      </w:r>
    </w:p>
    <w:p>
      <w:pPr>
        <w:ind w:firstLine="640" w:firstLineChars="200"/>
        <w:rPr>
          <w:rFonts w:ascii="黑体" w:hAnsi="黑体" w:eastAsia="黑体"/>
          <w:szCs w:val="32"/>
        </w:rPr>
      </w:pPr>
      <w:r>
        <w:rPr>
          <w:rFonts w:hint="eastAsia" w:ascii="黑体" w:hAnsi="黑体" w:eastAsia="黑体"/>
          <w:szCs w:val="32"/>
        </w:rPr>
        <w:t>四、财政拨款收入支出决算总体情况说明</w:t>
      </w:r>
    </w:p>
    <w:p>
      <w:pPr>
        <w:ind w:firstLine="640" w:firstLineChars="200"/>
        <w:rPr>
          <w:rFonts w:hint="eastAsia" w:ascii="仿宋_GB2312" w:eastAsia="仿宋_GB2312"/>
          <w:szCs w:val="32"/>
        </w:rPr>
      </w:pPr>
      <w:r>
        <w:rPr>
          <w:rFonts w:hint="eastAsia" w:ascii="仿宋_GB2312" w:eastAsia="仿宋_GB2312"/>
          <w:szCs w:val="32"/>
        </w:rPr>
        <w:t>2019 年度财政拨款收、支总计 4361.91 万元。与 2018年相比，财政拨款收、支总计各增加 1421.93 万元，增长48.37%。主要是一般公共预算财政拨款增加、灾害防治及应急管理支出增加。</w:t>
      </w:r>
    </w:p>
    <w:p>
      <w:pPr>
        <w:ind w:firstLine="640" w:firstLineChars="200"/>
      </w:pPr>
      <w:r>
        <w:rPr>
          <w:rFonts w:hint="eastAsia" w:ascii="仿宋_GB2312" w:eastAsia="仿宋_GB2312"/>
          <w:szCs w:val="32"/>
          <w:lang w:eastAsia="zh-CN"/>
        </w:rPr>
        <w:drawing>
          <wp:inline distT="0" distB="0" distL="114300" distR="114300">
            <wp:extent cx="4123055" cy="1885315"/>
            <wp:effectExtent l="4445" t="4445" r="12700" b="1524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480" w:firstLineChars="200"/>
        <w:jc w:val="center"/>
        <w:rPr>
          <w:rFonts w:ascii="黑体" w:hAnsi="黑体" w:eastAsia="黑体"/>
          <w:szCs w:val="32"/>
        </w:rPr>
      </w:pPr>
      <w:r>
        <w:rPr>
          <w:rFonts w:hint="eastAsia" w:ascii="仿宋" w:hAnsi="仿宋" w:eastAsia="仿宋" w:cs="仿宋"/>
          <w:sz w:val="24"/>
        </w:rPr>
        <w:t>2019年度财政拨款收、支决算总计变动情况图</w:t>
      </w:r>
    </w:p>
    <w:p>
      <w:pPr>
        <w:ind w:firstLine="640" w:firstLineChars="200"/>
        <w:rPr>
          <w:rFonts w:ascii="黑体" w:hAnsi="黑体" w:eastAsia="黑体"/>
          <w:szCs w:val="32"/>
        </w:rPr>
      </w:pPr>
      <w:r>
        <w:rPr>
          <w:rFonts w:hint="eastAsia" w:ascii="黑体" w:hAnsi="黑体" w:eastAsia="黑体"/>
          <w:szCs w:val="32"/>
        </w:rPr>
        <w:t>五、一般公共预算财政拨款支出决算情况说明</w:t>
      </w:r>
    </w:p>
    <w:p>
      <w:pPr>
        <w:ind w:firstLine="640" w:firstLineChars="200"/>
        <w:rPr>
          <w:rFonts w:ascii="楷体_GB2312" w:eastAsia="楷体_GB2312"/>
          <w:szCs w:val="32"/>
        </w:rPr>
      </w:pPr>
      <w:r>
        <w:rPr>
          <w:rFonts w:hint="eastAsia" w:ascii="楷体_GB2312" w:eastAsia="楷体_GB2312"/>
          <w:szCs w:val="32"/>
        </w:rPr>
        <w:t>（一）一般公共预算财政拨款支出决算总体情况</w:t>
      </w:r>
    </w:p>
    <w:p>
      <w:pPr>
        <w:ind w:firstLine="640" w:firstLineChars="200"/>
        <w:rPr>
          <w:rFonts w:hint="eastAsia" w:ascii="仿宋_GB2312" w:eastAsia="仿宋_GB2312"/>
          <w:szCs w:val="32"/>
        </w:rPr>
      </w:pPr>
      <w:r>
        <w:rPr>
          <w:rFonts w:hint="eastAsia" w:ascii="仿宋_GB2312" w:eastAsia="仿宋_GB2312"/>
          <w:szCs w:val="32"/>
        </w:rPr>
        <w:t>2019 年度一般公共预算财政拨款支出 3387.74 万元，占本年支出合计的 99.99%。与 2018 年相比，一般公共预算财政拨款支出增长 1354.48 万元，增长 66.62%。主要是 2019年机构改革后，应急管理局增加了防汛救灾、森林防火等多项职能，防灾救灾支出相应增加；新成立了 2 个事业单位，增加了部分人员，人员经费增加；建成了济宁市应急管理大数据指挥中心项目，增加了项目支出。</w:t>
      </w:r>
    </w:p>
    <w:p>
      <w:pPr>
        <w:ind w:firstLine="640" w:firstLineChars="200"/>
        <w:rPr>
          <w:rFonts w:ascii="仿宋_GB2312" w:eastAsia="仿宋_GB2312"/>
          <w:szCs w:val="32"/>
        </w:rPr>
      </w:pPr>
      <w:r>
        <w:rPr>
          <w:rFonts w:hint="eastAsia" w:ascii="仿宋_GB2312" w:eastAsia="仿宋_GB2312"/>
          <w:szCs w:val="32"/>
          <w:lang w:eastAsia="zh-CN"/>
        </w:rPr>
        <w:drawing>
          <wp:inline distT="0" distB="0" distL="114300" distR="114300">
            <wp:extent cx="4077970" cy="1898015"/>
            <wp:effectExtent l="5080" t="4445" r="6350" b="15240"/>
            <wp:docPr id="3" name="图表 3" title="财政拨款支出"/>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firstLine="640" w:firstLineChars="200"/>
        <w:jc w:val="both"/>
        <w:rPr>
          <w:rFonts w:ascii="仿宋_GB2312" w:eastAsia="仿宋_GB2312"/>
          <w:bCs/>
          <w:szCs w:val="32"/>
        </w:rPr>
      </w:pPr>
      <w:r>
        <w:rPr>
          <w:rFonts w:hint="eastAsia" w:ascii="仿宋_GB2312" w:eastAsia="仿宋_GB2312"/>
          <w:bCs/>
          <w:szCs w:val="32"/>
        </w:rPr>
        <w:t>2019年度财政拨款支出决算变动情况图</w:t>
      </w:r>
    </w:p>
    <w:p>
      <w:pPr>
        <w:ind w:firstLine="640" w:firstLineChars="200"/>
        <w:rPr>
          <w:rFonts w:ascii="楷体_GB2312" w:eastAsia="楷体_GB2312"/>
          <w:szCs w:val="32"/>
        </w:rPr>
      </w:pPr>
      <w:r>
        <w:rPr>
          <w:rFonts w:hint="eastAsia" w:ascii="楷体_GB2312" w:eastAsia="楷体_GB2312"/>
          <w:szCs w:val="32"/>
        </w:rPr>
        <w:t>（二）一般公共预算财政拨款支出决算结构情况</w:t>
      </w:r>
    </w:p>
    <w:p>
      <w:pPr>
        <w:ind w:firstLine="640" w:firstLineChars="200"/>
        <w:rPr>
          <w:rFonts w:ascii="仿宋_GB2312" w:eastAsia="仿宋_GB2312"/>
          <w:szCs w:val="32"/>
        </w:rPr>
      </w:pPr>
      <w:r>
        <w:rPr>
          <w:rFonts w:hint="eastAsia" w:ascii="仿宋_GB2312" w:eastAsia="仿宋_GB2312"/>
          <w:szCs w:val="32"/>
        </w:rPr>
        <w:t>2019 年度一般公共预算财政拨款支出 3387.74 万元，主要用于以下方面：一般公共服务支出（类）415.97 万元，占12.28%；资源勘探信息等支出（类）624.67 万元，占 18.44%；灾害防治及应急管理支出（类）2347.11 万元，占69.28%。</w:t>
      </w:r>
    </w:p>
    <w:p>
      <w:pPr>
        <w:ind w:firstLine="640" w:firstLineChars="200"/>
        <w:jc w:val="center"/>
        <w:rPr>
          <w:rFonts w:ascii="仿宋_GB2312" w:eastAsia="仿宋_GB2312"/>
          <w:szCs w:val="32"/>
        </w:rPr>
      </w:pPr>
      <w:r>
        <w:drawing>
          <wp:inline distT="0" distB="0" distL="114300" distR="114300">
            <wp:extent cx="5130165" cy="2757170"/>
            <wp:effectExtent l="0" t="0" r="635" b="1143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2"/>
                    <a:stretch>
                      <a:fillRect/>
                    </a:stretch>
                  </pic:blipFill>
                  <pic:spPr>
                    <a:xfrm>
                      <a:off x="0" y="0"/>
                      <a:ext cx="5130165" cy="2757170"/>
                    </a:xfrm>
                    <a:prstGeom prst="rect">
                      <a:avLst/>
                    </a:prstGeom>
                    <a:noFill/>
                    <a:ln>
                      <a:noFill/>
                    </a:ln>
                  </pic:spPr>
                </pic:pic>
              </a:graphicData>
            </a:graphic>
          </wp:inline>
        </w:drawing>
      </w:r>
    </w:p>
    <w:p>
      <w:pPr>
        <w:ind w:firstLine="643" w:firstLineChars="200"/>
        <w:jc w:val="center"/>
        <w:rPr>
          <w:rFonts w:ascii="仿宋_GB2312" w:eastAsia="仿宋_GB2312"/>
          <w:b/>
          <w:szCs w:val="32"/>
        </w:rPr>
      </w:pPr>
      <w:r>
        <w:rPr>
          <w:rFonts w:hint="eastAsia" w:ascii="仿宋_GB2312" w:eastAsia="仿宋_GB2312"/>
          <w:b/>
          <w:szCs w:val="32"/>
        </w:rPr>
        <w:t>2019年度财政拨款支出决算结构图</w:t>
      </w:r>
    </w:p>
    <w:p>
      <w:pPr>
        <w:ind w:firstLine="640" w:firstLineChars="200"/>
        <w:rPr>
          <w:rFonts w:ascii="楷体_GB2312" w:eastAsia="楷体_GB2312"/>
          <w:szCs w:val="32"/>
        </w:rPr>
      </w:pPr>
      <w:r>
        <w:rPr>
          <w:rFonts w:hint="eastAsia" w:ascii="楷体_GB2312" w:eastAsia="楷体_GB2312"/>
          <w:szCs w:val="32"/>
        </w:rPr>
        <w:t>（三）一般公共预算财政拨款支出决算具体情况</w:t>
      </w:r>
    </w:p>
    <w:p>
      <w:pPr>
        <w:ind w:firstLine="640" w:firstLineChars="200"/>
        <w:rPr>
          <w:rFonts w:ascii="仿宋_GB2312" w:eastAsia="仿宋_GB2312"/>
          <w:szCs w:val="32"/>
        </w:rPr>
      </w:pPr>
      <w:r>
        <w:rPr>
          <w:rFonts w:hint="eastAsia" w:ascii="仿宋_GB2312" w:eastAsia="仿宋_GB2312"/>
          <w:szCs w:val="32"/>
        </w:rPr>
        <w:t>2019年度一般公共预算财政拨款支出年初预算为1483.6 万元，支出决算为 3387.74 万元，完成年初预算的228.35%。决算数大于预算数的主要原因是机构改革后，应急管理部门职责增多，增加了灾害防治及应急管理支出；新成立 2 个下属事业单位，人员支出增加；2019 年建成了济宁市应急管理大数据指挥中心，项目支出增加。其中：</w:t>
      </w:r>
    </w:p>
    <w:p>
      <w:pPr>
        <w:ind w:firstLine="640" w:firstLineChars="200"/>
        <w:rPr>
          <w:rFonts w:ascii="仿宋_GB2312" w:eastAsia="仿宋_GB2312"/>
          <w:szCs w:val="32"/>
        </w:rPr>
      </w:pPr>
      <w:r>
        <w:rPr>
          <w:rFonts w:hint="eastAsia" w:ascii="仿宋_GB2312" w:eastAsia="仿宋_GB2312"/>
          <w:szCs w:val="32"/>
        </w:rPr>
        <w:t>1、一般公共服务支出（类）发展与改革事务（款）物价管理（项）。主要反映用于机构改革后新转隶人员经费。年初预算为 0 万元，支出决算为 0.67 万元。决算数大于预算数主要原因是机构改革后部门职责增多，新转隶人员一名，随转隶人员划转人员经费。</w:t>
      </w:r>
    </w:p>
    <w:p>
      <w:pPr>
        <w:ind w:firstLine="640" w:firstLineChars="200"/>
        <w:rPr>
          <w:rFonts w:ascii="仿宋_GB2312" w:eastAsia="仿宋_GB2312"/>
          <w:szCs w:val="32"/>
        </w:rPr>
      </w:pPr>
      <w:r>
        <w:rPr>
          <w:rFonts w:hint="eastAsia" w:ascii="仿宋_GB2312" w:eastAsia="仿宋_GB2312"/>
          <w:szCs w:val="32"/>
        </w:rPr>
        <w:t>2、一般公共服务支出（类）其他一般公共服务支出（款）其他一般公共服务支出（项）。主要反映用于安全生产和应急管理宣传、防汛应急救援、购买办公家具和办公设备、安全生产培训。年初预算为0 万元，支出决算为 415.3万元。决算数大于预算数主要原因是机构改革后划转的部门职责较多，对安全生产、防灾减灾、应急管理工作的宣传力度增大，宣传支出增多；承办了全省防汛抢险应急救援综合演练活动，增加了演练支出；新成立2 个下属事业单位，增加了人员支出；组织开展了安全生产内训师和安全生产培训进企业、进县市区等系列安全生产培训活动，培训支出增加。</w:t>
      </w:r>
    </w:p>
    <w:p>
      <w:pPr>
        <w:ind w:firstLine="640" w:firstLineChars="200"/>
        <w:rPr>
          <w:rFonts w:ascii="仿宋_GB2312" w:eastAsia="仿宋_GB2312"/>
          <w:szCs w:val="32"/>
        </w:rPr>
      </w:pPr>
      <w:r>
        <w:rPr>
          <w:rFonts w:hint="eastAsia" w:ascii="仿宋_GB2312" w:eastAsia="仿宋_GB2312"/>
          <w:szCs w:val="32"/>
        </w:rPr>
        <w:t>3、资源勘探信息等支出（类）工业和信息产业监管（款）电子专项工程（项）。主要反映用于济宁市应急管理大数据指挥中心支出。年初预算为0万元，支出决算为624.67万元。决算数大于预算数主要原因是机构改革后，启动建设了济宁市应急管理大数据指挥中心项目，项目支出增加。</w:t>
      </w:r>
    </w:p>
    <w:p>
      <w:pPr>
        <w:ind w:firstLine="640" w:firstLineChars="200"/>
        <w:rPr>
          <w:rFonts w:ascii="仿宋_GB2312" w:eastAsia="仿宋_GB2312"/>
          <w:szCs w:val="32"/>
        </w:rPr>
      </w:pPr>
      <w:r>
        <w:rPr>
          <w:rFonts w:hint="eastAsia" w:ascii="仿宋_GB2312" w:eastAsia="仿宋_GB2312"/>
          <w:szCs w:val="32"/>
        </w:rPr>
        <w:t>4、灾害防治及应急管理支出（类）应急管理事务（款）行政运行（项）。主要反映用于部门行政运行支出。年初预算为 762.71万元，支出决算为 805.57 万元，完成年初预算的 105.62%。决算数大于预算数主要原因是机构改革后，应急管理部门增加了防汛抗旱、减灾救灾、森林防火等多项工作职责，支出相应增加。</w:t>
      </w:r>
    </w:p>
    <w:p>
      <w:pPr>
        <w:ind w:firstLine="640" w:firstLineChars="200"/>
        <w:rPr>
          <w:rFonts w:ascii="仿宋_GB2312" w:eastAsia="仿宋_GB2312"/>
          <w:szCs w:val="32"/>
        </w:rPr>
      </w:pPr>
      <w:r>
        <w:rPr>
          <w:rFonts w:hint="eastAsia" w:ascii="仿宋_GB2312" w:eastAsia="仿宋_GB2312"/>
          <w:szCs w:val="32"/>
        </w:rPr>
        <w:t>5、灾害防治及应急管理支出（类）应急管理事务（款）一般行政管理事务（项）。主要反映用于部门会议支出。年初预算为 7.5 万元，支出决算为 7.5万元，决算数与年初预算基本持平主要原因是按照安排部署召开各项会议。</w:t>
      </w:r>
    </w:p>
    <w:p>
      <w:pPr>
        <w:ind w:firstLine="640" w:firstLineChars="200"/>
        <w:rPr>
          <w:rFonts w:ascii="仿宋_GB2312" w:eastAsia="仿宋_GB2312"/>
          <w:szCs w:val="32"/>
        </w:rPr>
      </w:pPr>
      <w:r>
        <w:rPr>
          <w:rFonts w:hint="eastAsia" w:ascii="仿宋_GB2312" w:eastAsia="仿宋_GB2312"/>
          <w:szCs w:val="32"/>
        </w:rPr>
        <w:t>6、灾害防治及应急管理支出（类）应急管理事务（款）安全监管（项）。主要反映用于安全生产专项支出、乡镇安全检查员奖补支出、应急演练支出。年初预算为696 万元，支出决算为 1007.5万元，完成年初预算的144.76%。决算数大于预算数主要原因是机构改革后，应急管理部门职责增加较多，工作任务量急剧加大，应急管理事务开支相应增加。</w:t>
      </w:r>
    </w:p>
    <w:p>
      <w:pPr>
        <w:ind w:firstLine="640" w:firstLineChars="200"/>
        <w:rPr>
          <w:rFonts w:ascii="仿宋_GB2312" w:eastAsia="仿宋_GB2312"/>
          <w:szCs w:val="32"/>
        </w:rPr>
      </w:pPr>
      <w:r>
        <w:rPr>
          <w:rFonts w:hint="eastAsia" w:ascii="仿宋_GB2312" w:eastAsia="仿宋_GB2312"/>
          <w:szCs w:val="32"/>
        </w:rPr>
        <w:t>7、灾害防治及应急管理支出（类）应急管理事务（款）事业运行（项）。主要反映用于人员支出。年初预算为 17.39万元，支出决算为 406.17 万元，完成年初预算的 2335.65%。决算数大于预算数主要原因是 2019 年新成立 2 个下属事业单位（济宁市应急管理综合执法支队和济宁市应急保障服务中心），人员支出增加。</w:t>
      </w:r>
    </w:p>
    <w:p>
      <w:pPr>
        <w:ind w:firstLine="640" w:firstLineChars="200"/>
        <w:rPr>
          <w:rFonts w:ascii="仿宋_GB2312" w:eastAsia="仿宋_GB2312"/>
          <w:szCs w:val="32"/>
        </w:rPr>
      </w:pPr>
      <w:r>
        <w:rPr>
          <w:rFonts w:hint="eastAsia" w:ascii="仿宋_GB2312" w:eastAsia="仿宋_GB2312"/>
          <w:szCs w:val="32"/>
        </w:rPr>
        <w:t>8、灾害防治及应急管理支出（类）应急管理事务（款）其他应急管理支出（项）。主要反映用于人员支出。年初预算为 0 万元，支出决算为 0.44 万元。决算数大于预算数主要原因是用于 2019 年下属事业单位济宁市安全生产技术服务中心的第一季度绩效工资。</w:t>
      </w:r>
    </w:p>
    <w:p>
      <w:pPr>
        <w:ind w:firstLine="640" w:firstLineChars="200"/>
        <w:rPr>
          <w:rFonts w:ascii="仿宋_GB2312" w:eastAsia="仿宋_GB2312"/>
          <w:szCs w:val="32"/>
        </w:rPr>
      </w:pPr>
      <w:r>
        <w:rPr>
          <w:rFonts w:hint="eastAsia" w:ascii="仿宋_GB2312" w:eastAsia="仿宋_GB2312"/>
          <w:szCs w:val="32"/>
        </w:rPr>
        <w:t>9、灾害防治及应急管理支出（类）自然灾害救灾及恢复重建支出（款）自然灾害救灾补助（项）。主要反映用于自然灾害救灾支出。年初预算为0万元，支出决算为119.93万元。决算数大于预算数主要原因是机构改革后，应急管理局增加了防汛抗旱的职能，用于防汛应急物资采购支出。</w:t>
      </w:r>
    </w:p>
    <w:p>
      <w:pPr>
        <w:ind w:firstLine="640" w:firstLineChars="200"/>
        <w:rPr>
          <w:rFonts w:ascii="黑体" w:hAnsi="黑体" w:eastAsia="黑体"/>
          <w:szCs w:val="32"/>
        </w:rPr>
      </w:pPr>
      <w:r>
        <w:rPr>
          <w:rFonts w:hint="eastAsia" w:ascii="黑体" w:hAnsi="黑体" w:eastAsia="黑体"/>
          <w:szCs w:val="32"/>
        </w:rPr>
        <w:t>六、一般公共预算财政拨款基本支出决算情况说明</w:t>
      </w:r>
    </w:p>
    <w:p>
      <w:pPr>
        <w:ind w:firstLine="640" w:firstLineChars="200"/>
        <w:rPr>
          <w:rFonts w:ascii="仿宋_GB2312" w:eastAsia="仿宋_GB2312"/>
          <w:szCs w:val="32"/>
        </w:rPr>
      </w:pPr>
      <w:r>
        <w:rPr>
          <w:rFonts w:hint="eastAsia" w:ascii="仿宋_GB2312" w:eastAsia="仿宋_GB2312"/>
          <w:szCs w:val="32"/>
        </w:rPr>
        <w:t>2019 年度一般公共预算财政拨款基本支出决算1168.19万元，包括人员经费和公用经费，支出具体情况如下：</w:t>
      </w:r>
    </w:p>
    <w:p>
      <w:pPr>
        <w:ind w:firstLine="640" w:firstLineChars="200"/>
        <w:rPr>
          <w:rFonts w:ascii="仿宋_GB2312" w:eastAsia="仿宋_GB2312"/>
          <w:szCs w:val="32"/>
        </w:rPr>
      </w:pPr>
      <w:r>
        <w:rPr>
          <w:rFonts w:hint="eastAsia" w:ascii="仿宋_GB2312" w:eastAsia="仿宋_GB2312"/>
          <w:szCs w:val="32"/>
        </w:rPr>
        <w:t>人员经费1048.42 万元，主要包括：基本工资、津贴补贴、奖金、绩效工资、机关事业单位基本养老保险缴费、职业年金缴费、职工基本医疗保险缴费、其他社会保障缴费、住房公积金、退休费、生活补助、救济费、奖励金、其他对个人和家庭的补助等。</w:t>
      </w:r>
    </w:p>
    <w:p>
      <w:pPr>
        <w:ind w:firstLine="640" w:firstLineChars="200"/>
        <w:rPr>
          <w:rFonts w:ascii="仿宋_GB2312" w:eastAsia="仿宋_GB2312"/>
          <w:szCs w:val="32"/>
        </w:rPr>
      </w:pPr>
      <w:r>
        <w:rPr>
          <w:rFonts w:hint="eastAsia" w:ascii="仿宋_GB2312" w:eastAsia="仿宋_GB2312"/>
          <w:szCs w:val="32"/>
        </w:rPr>
        <w:t>公用经费 119.77 万元，主要包括：办公费、印刷费、电费、邮电费、物业管理费、差旅费、维修(护)费、租赁费、会议费、培训费、公务接待费、劳务费、委托业务费、工会经费、公务用车运行维护费、其他交通费用、其他商品和服务支出等。</w:t>
      </w:r>
    </w:p>
    <w:p>
      <w:pPr>
        <w:ind w:firstLine="640" w:firstLineChars="200"/>
        <w:rPr>
          <w:rFonts w:ascii="黑体" w:hAnsi="黑体" w:eastAsia="黑体"/>
          <w:szCs w:val="32"/>
        </w:rPr>
      </w:pPr>
      <w:r>
        <w:rPr>
          <w:rFonts w:hint="eastAsia" w:ascii="黑体" w:hAnsi="黑体" w:eastAsia="黑体"/>
          <w:szCs w:val="32"/>
        </w:rPr>
        <w:t>七、一般公共预算财政拨款“三公”经费支出决算情况说明</w:t>
      </w:r>
    </w:p>
    <w:p>
      <w:pPr>
        <w:ind w:firstLine="640" w:firstLineChars="200"/>
        <w:rPr>
          <w:rFonts w:ascii="楷体_GB2312" w:eastAsia="楷体_GB2312"/>
          <w:szCs w:val="32"/>
        </w:rPr>
      </w:pPr>
      <w:r>
        <w:rPr>
          <w:rFonts w:hint="eastAsia" w:ascii="楷体_GB2312" w:eastAsia="楷体_GB2312"/>
          <w:szCs w:val="32"/>
        </w:rPr>
        <w:t>（一）“三公”经费支出决算总体情况及增减变动原因</w:t>
      </w:r>
    </w:p>
    <w:p>
      <w:pPr>
        <w:ind w:firstLine="640" w:firstLineChars="200"/>
        <w:rPr>
          <w:rFonts w:ascii="仿宋_GB2312" w:hAnsi="宋体" w:eastAsia="仿宋_GB2312" w:cs="Courier New"/>
          <w:szCs w:val="32"/>
        </w:rPr>
      </w:pPr>
      <w:r>
        <w:rPr>
          <w:rFonts w:hint="eastAsia" w:ascii="仿宋_GB2312" w:hAnsi="宋体" w:eastAsia="仿宋_GB2312" w:cs="Courier New"/>
          <w:szCs w:val="32"/>
        </w:rPr>
        <w:t>市应急管理局2019 年度一般公共预算财政拨款“三公” 经费决算数为3.86 万元（含局机关及 3 个所属预算单位），其中：因公出国（境）费 0 万元，公务用车购置及运行维护费 3.06 万元，公务接待费 0.8 万元。</w:t>
      </w:r>
    </w:p>
    <w:p>
      <w:pPr>
        <w:ind w:firstLine="640" w:firstLineChars="200"/>
        <w:rPr>
          <w:rFonts w:ascii="仿宋_GB2312" w:hAnsi="宋体" w:eastAsia="仿宋_GB2312" w:cs="Courier New"/>
          <w:szCs w:val="32"/>
          <w:highlight w:val="none"/>
        </w:rPr>
      </w:pPr>
      <w:r>
        <w:rPr>
          <w:rFonts w:hint="eastAsia" w:ascii="仿宋_GB2312" w:hAnsi="宋体" w:eastAsia="仿宋_GB2312" w:cs="Courier New"/>
          <w:szCs w:val="32"/>
          <w:highlight w:val="none"/>
        </w:rPr>
        <w:t>2019 年“三公”经费决算比年初预算数减少</w:t>
      </w:r>
      <w:r>
        <w:rPr>
          <w:rFonts w:hint="eastAsia" w:ascii="仿宋_GB2312" w:hAnsi="宋体" w:eastAsia="仿宋_GB2312" w:cs="Courier New"/>
          <w:szCs w:val="32"/>
          <w:highlight w:val="none"/>
          <w:lang w:val="en-US" w:eastAsia="zh-CN"/>
        </w:rPr>
        <w:t>1.64</w:t>
      </w:r>
      <w:r>
        <w:rPr>
          <w:rFonts w:hint="eastAsia" w:ascii="仿宋_GB2312" w:hAnsi="宋体" w:eastAsia="仿宋_GB2312" w:cs="Courier New"/>
          <w:szCs w:val="32"/>
          <w:highlight w:val="none"/>
        </w:rPr>
        <w:t>万元，主要原因是公务用车购置及运行费减少。其中：因公出国（境）费与 2019 年预算基本持平、公务用车购置及运行费减少 1.44 万元、公务接待费减少 0.</w:t>
      </w:r>
      <w:r>
        <w:rPr>
          <w:rFonts w:hint="eastAsia" w:ascii="仿宋_GB2312" w:hAnsi="宋体" w:eastAsia="仿宋_GB2312" w:cs="Courier New"/>
          <w:szCs w:val="32"/>
          <w:highlight w:val="none"/>
          <w:lang w:val="en-US" w:eastAsia="zh-CN"/>
        </w:rPr>
        <w:t>2</w:t>
      </w:r>
      <w:r>
        <w:rPr>
          <w:rFonts w:hint="eastAsia" w:ascii="仿宋_GB2312" w:hAnsi="宋体" w:eastAsia="仿宋_GB2312" w:cs="Courier New"/>
          <w:szCs w:val="32"/>
          <w:highlight w:val="none"/>
        </w:rPr>
        <w:t xml:space="preserve"> 万元。公务用车购置及运行费减少的主要原因是下属事业单位济宁市安全生产技术服务中心收回了一辆公务用车。公务接待费减少的主要原因是压缩了公务接待费用。</w:t>
      </w:r>
    </w:p>
    <w:p>
      <w:pPr>
        <w:ind w:firstLine="640" w:firstLineChars="200"/>
        <w:rPr>
          <w:rFonts w:ascii="楷体_GB2312" w:eastAsia="楷体_GB2312"/>
          <w:szCs w:val="32"/>
        </w:rPr>
      </w:pPr>
      <w:r>
        <w:rPr>
          <w:rFonts w:hint="eastAsia" w:ascii="楷体_GB2312" w:eastAsia="楷体_GB2312"/>
          <w:szCs w:val="32"/>
        </w:rPr>
        <w:t>（二）“三公”经费支出决算具体情况</w:t>
      </w:r>
    </w:p>
    <w:p>
      <w:pPr>
        <w:ind w:firstLine="640" w:firstLineChars="200"/>
        <w:rPr>
          <w:rFonts w:ascii="仿宋_GB2312" w:eastAsia="仿宋_GB2312"/>
          <w:b/>
          <w:szCs w:val="32"/>
        </w:rPr>
      </w:pPr>
      <w:r>
        <w:rPr>
          <w:rFonts w:hint="eastAsia" w:ascii="仿宋_GB2312" w:eastAsia="仿宋_GB2312"/>
          <w:szCs w:val="32"/>
        </w:rPr>
        <w:t>1、因公出国（境）费决算数为0万元，因公出国（境）团组0个,累计0人次。</w:t>
      </w:r>
    </w:p>
    <w:p>
      <w:pPr>
        <w:ind w:firstLine="640" w:firstLineChars="200"/>
        <w:rPr>
          <w:rFonts w:ascii="仿宋_GB2312" w:eastAsia="仿宋_GB2312"/>
          <w:szCs w:val="32"/>
        </w:rPr>
      </w:pPr>
      <w:r>
        <w:rPr>
          <w:rFonts w:hint="eastAsia" w:ascii="仿宋_GB2312" w:eastAsia="仿宋_GB2312"/>
          <w:szCs w:val="32"/>
        </w:rPr>
        <w:t>2、公务用车购置及运行维护费指单位公务用车购置费（含车辆购置税）及按规定保留的公务用车燃料费、维修费、过路过桥费、保险费等支出。其中：公务用车购置费0 万元；公务用车运行维护费 3.06 万元。主要用于下属事业单位济宁市安全生产技术服务中心公务用车购买保险、加油和维修保养。2019 年济宁市应急管理局所属事业单位济宁市安全生产技术服务中心财政拨款开支运行维护费的公务用车保有量为 1 辆。</w:t>
      </w:r>
    </w:p>
    <w:p>
      <w:pPr>
        <w:ind w:firstLine="640" w:firstLineChars="200"/>
        <w:rPr>
          <w:rFonts w:ascii="仿宋_GB2312" w:eastAsia="仿宋_GB2312"/>
          <w:szCs w:val="32"/>
          <w:highlight w:val="yellow"/>
        </w:rPr>
      </w:pPr>
      <w:r>
        <w:rPr>
          <w:rFonts w:hint="eastAsia" w:ascii="仿宋_GB2312" w:eastAsia="仿宋_GB2312"/>
          <w:szCs w:val="32"/>
        </w:rPr>
        <w:t>3、公务接待费决算数为0</w:t>
      </w:r>
      <w:r>
        <w:rPr>
          <w:rFonts w:ascii="仿宋_GB2312" w:eastAsia="仿宋_GB2312"/>
          <w:szCs w:val="32"/>
        </w:rPr>
        <w:t>.8</w:t>
      </w:r>
      <w:r>
        <w:rPr>
          <w:rFonts w:hint="eastAsia" w:ascii="仿宋_GB2312" w:eastAsia="仿宋_GB2312"/>
          <w:szCs w:val="32"/>
        </w:rPr>
        <w:t>万元，占一般公共预算财政拨款“三公”经费总数的2</w:t>
      </w:r>
      <w:r>
        <w:rPr>
          <w:rFonts w:ascii="仿宋_GB2312" w:eastAsia="仿宋_GB2312"/>
          <w:szCs w:val="32"/>
        </w:rPr>
        <w:t>0.73</w:t>
      </w:r>
      <w:r>
        <w:rPr>
          <w:rFonts w:hint="eastAsia" w:ascii="仿宋_GB2312" w:eastAsia="仿宋_GB2312"/>
          <w:szCs w:val="32"/>
        </w:rPr>
        <w:t>%。其中，国内接待费0</w:t>
      </w:r>
      <w:r>
        <w:rPr>
          <w:rFonts w:ascii="仿宋_GB2312" w:eastAsia="仿宋_GB2312"/>
          <w:szCs w:val="32"/>
        </w:rPr>
        <w:t>.8</w:t>
      </w:r>
      <w:r>
        <w:rPr>
          <w:rFonts w:hint="eastAsia" w:ascii="仿宋_GB2312" w:eastAsia="仿宋_GB2312"/>
          <w:szCs w:val="32"/>
        </w:rPr>
        <w:t>万元，主要用于接待应急管理部、其他地市调研组，共计接待 3 批次，17人次（含外事接待0 批次、0 人次）；国（境）外接待费 0 万元，共计接待</w:t>
      </w:r>
      <w:r>
        <w:rPr>
          <w:rFonts w:ascii="仿宋_GB2312" w:eastAsia="仿宋_GB2312"/>
          <w:szCs w:val="32"/>
        </w:rPr>
        <w:t>0</w:t>
      </w:r>
      <w:r>
        <w:rPr>
          <w:rFonts w:hint="eastAsia" w:ascii="仿宋_GB2312" w:eastAsia="仿宋_GB2312"/>
          <w:szCs w:val="32"/>
        </w:rPr>
        <w:t>批次，</w:t>
      </w:r>
      <w:r>
        <w:rPr>
          <w:rFonts w:ascii="仿宋_GB2312" w:eastAsia="仿宋_GB2312"/>
          <w:szCs w:val="32"/>
        </w:rPr>
        <w:t>0</w:t>
      </w:r>
      <w:r>
        <w:rPr>
          <w:rFonts w:hint="eastAsia" w:ascii="仿宋_GB2312" w:eastAsia="仿宋_GB2312"/>
          <w:szCs w:val="32"/>
        </w:rPr>
        <w:t>人次。</w:t>
      </w:r>
    </w:p>
    <w:p>
      <w:pPr>
        <w:ind w:firstLine="640" w:firstLineChars="200"/>
        <w:rPr>
          <w:rFonts w:ascii="黑体" w:hAnsi="黑体" w:eastAsia="黑体"/>
          <w:szCs w:val="32"/>
        </w:rPr>
      </w:pPr>
      <w:r>
        <w:rPr>
          <w:rFonts w:hint="eastAsia" w:ascii="黑体" w:hAnsi="黑体" w:eastAsia="黑体"/>
          <w:szCs w:val="32"/>
        </w:rPr>
        <w:t>八、政府性基金预算财政拨款收入支出决算情况说明</w:t>
      </w:r>
    </w:p>
    <w:p>
      <w:pPr>
        <w:ind w:firstLine="640" w:firstLineChars="200"/>
        <w:rPr>
          <w:rFonts w:ascii="仿宋_GB2312" w:eastAsia="仿宋_GB2312"/>
          <w:bCs/>
          <w:szCs w:val="32"/>
        </w:rPr>
      </w:pPr>
      <w:r>
        <w:rPr>
          <w:rFonts w:hint="eastAsia" w:ascii="仿宋_GB2312" w:eastAsia="仿宋_GB2312"/>
          <w:bCs/>
          <w:szCs w:val="32"/>
        </w:rPr>
        <w:t>本部门没有政府性基金财政拨款收支。</w:t>
      </w:r>
    </w:p>
    <w:p>
      <w:pPr>
        <w:ind w:firstLine="640" w:firstLineChars="200"/>
        <w:rPr>
          <w:rFonts w:ascii="黑体" w:hAnsi="黑体" w:eastAsia="黑体"/>
          <w:szCs w:val="32"/>
        </w:rPr>
      </w:pPr>
      <w:r>
        <w:rPr>
          <w:rFonts w:hint="eastAsia" w:ascii="黑体" w:hAnsi="黑体" w:eastAsia="黑体"/>
          <w:szCs w:val="32"/>
        </w:rPr>
        <w:t>九、重要事项情况说明</w:t>
      </w:r>
    </w:p>
    <w:p>
      <w:pPr>
        <w:ind w:firstLine="640" w:firstLineChars="200"/>
        <w:rPr>
          <w:rFonts w:ascii="楷体_GB2312" w:eastAsia="楷体_GB2312"/>
          <w:szCs w:val="32"/>
        </w:rPr>
      </w:pPr>
      <w:r>
        <w:rPr>
          <w:rFonts w:hint="eastAsia" w:ascii="楷体_GB2312" w:eastAsia="楷体_GB2312"/>
          <w:szCs w:val="32"/>
        </w:rPr>
        <w:t>（一）机关运行经费支出情况</w:t>
      </w:r>
    </w:p>
    <w:p>
      <w:pPr>
        <w:ind w:firstLine="640" w:firstLineChars="200"/>
        <w:rPr>
          <w:rFonts w:hint="default" w:ascii="仿宋_GB2312" w:eastAsia="仿宋_GB2312"/>
          <w:b/>
          <w:szCs w:val="32"/>
          <w:lang w:val="en-US" w:eastAsia="zh-CN"/>
        </w:rPr>
      </w:pPr>
      <w:r>
        <w:rPr>
          <w:rFonts w:hint="eastAsia" w:ascii="仿宋_GB2312" w:eastAsia="仿宋_GB2312"/>
          <w:szCs w:val="32"/>
        </w:rPr>
        <w:t>2019 年度，济宁市应急管理局机关运行经费支出 110.47万元，比 2018 年减少 2.87 万元，减少 2.53%，与上年基本持平。</w:t>
      </w:r>
      <w:r>
        <w:rPr>
          <w:rFonts w:hint="eastAsia" w:ascii="仿宋_GB2312" w:eastAsia="仿宋_GB2312"/>
          <w:szCs w:val="32"/>
          <w:lang w:val="en-US" w:eastAsia="zh-CN"/>
        </w:rPr>
        <w:t>主要是机关运行需求减少。</w:t>
      </w:r>
    </w:p>
    <w:p>
      <w:pPr>
        <w:ind w:firstLine="640" w:firstLineChars="200"/>
        <w:rPr>
          <w:rFonts w:ascii="楷体_GB2312" w:eastAsia="楷体_GB2312"/>
          <w:szCs w:val="32"/>
        </w:rPr>
      </w:pPr>
      <w:r>
        <w:rPr>
          <w:rFonts w:hint="eastAsia" w:ascii="楷体_GB2312" w:eastAsia="楷体_GB2312"/>
          <w:szCs w:val="32"/>
        </w:rPr>
        <w:t>（二）政府采购支出情况</w:t>
      </w:r>
    </w:p>
    <w:p>
      <w:pPr>
        <w:ind w:firstLine="640" w:firstLineChars="200"/>
        <w:rPr>
          <w:rFonts w:ascii="仿宋_GB2312" w:hAnsi="宋体" w:eastAsia="仿宋_GB2312" w:cs="Courier New"/>
          <w:szCs w:val="32"/>
        </w:rPr>
      </w:pPr>
      <w:r>
        <w:rPr>
          <w:rFonts w:hint="eastAsia" w:ascii="仿宋_GB2312" w:hAnsi="宋体" w:eastAsia="仿宋_GB2312" w:cs="Courier New"/>
          <w:szCs w:val="32"/>
        </w:rPr>
        <w:t>2019 年度，</w:t>
      </w:r>
      <w:r>
        <w:rPr>
          <w:rFonts w:hint="eastAsia" w:ascii="仿宋_GB2312" w:hAnsi="宋体" w:eastAsia="仿宋_GB2312" w:cs="Courier New"/>
          <w:szCs w:val="32"/>
          <w:highlight w:val="none"/>
        </w:rPr>
        <w:t>政府采购</w:t>
      </w:r>
      <w:bookmarkStart w:id="0" w:name="_GoBack"/>
      <w:bookmarkEnd w:id="0"/>
      <w:r>
        <w:rPr>
          <w:rFonts w:hint="eastAsia" w:ascii="仿宋_GB2312" w:hAnsi="宋体" w:eastAsia="仿宋_GB2312" w:cs="Courier New"/>
          <w:szCs w:val="32"/>
          <w:highlight w:val="none"/>
        </w:rPr>
        <w:t>金额 189.97 万元，其中：政府采购货物金额 60.83 万元、政府采购工程金额 129.15 万元、政府</w:t>
      </w:r>
      <w:r>
        <w:rPr>
          <w:rFonts w:hint="eastAsia" w:ascii="仿宋_GB2312" w:hAnsi="宋体" w:eastAsia="仿宋_GB2312" w:cs="Courier New"/>
          <w:szCs w:val="32"/>
        </w:rPr>
        <w:t>采购服务金额 0 万元。授予中小企业合同金额 0 万元，占政府采购总额的 0%，其中：授予小微企业合同金额0 万元，占政府采购总额的 0%。</w:t>
      </w:r>
    </w:p>
    <w:p>
      <w:pPr>
        <w:ind w:firstLine="640" w:firstLineChars="200"/>
        <w:rPr>
          <w:rFonts w:ascii="楷体_GB2312" w:eastAsia="楷体_GB2312"/>
          <w:szCs w:val="32"/>
          <w:highlight w:val="yellow"/>
        </w:rPr>
      </w:pPr>
      <w:r>
        <w:rPr>
          <w:rFonts w:hint="eastAsia" w:ascii="楷体_GB2312" w:eastAsia="楷体_GB2312"/>
          <w:szCs w:val="32"/>
        </w:rPr>
        <w:t>（三）国有资产占用情况</w:t>
      </w:r>
    </w:p>
    <w:p>
      <w:pPr>
        <w:ind w:firstLine="640" w:firstLineChars="200"/>
        <w:rPr>
          <w:rFonts w:ascii="仿宋_GB2312" w:hAnsi="宋体" w:eastAsia="仿宋_GB2312" w:cs="Courier New"/>
          <w:szCs w:val="32"/>
        </w:rPr>
      </w:pPr>
      <w:r>
        <w:rPr>
          <w:rFonts w:hint="eastAsia" w:ascii="仿宋_GB2312" w:hAnsi="宋体" w:eastAsia="仿宋_GB2312" w:cs="Courier New"/>
          <w:szCs w:val="32"/>
        </w:rPr>
        <w:t>本部门共有车辆 1 辆，其中，公务用车辆、一般执法执勤用车 1 辆、特种专业技术用车 0 辆、其他用车 0 辆；单位价值 50 万元以上通用设备 0 台（套），单位价值100 万元以上专用设备 0 台（套）。</w:t>
      </w:r>
    </w:p>
    <w:p>
      <w:pPr>
        <w:ind w:firstLine="640" w:firstLineChars="200"/>
        <w:rPr>
          <w:rFonts w:ascii="楷体_GB2312" w:eastAsia="楷体_GB2312"/>
          <w:szCs w:val="32"/>
        </w:rPr>
      </w:pPr>
      <w:r>
        <w:rPr>
          <w:rFonts w:hint="eastAsia" w:ascii="楷体_GB2312" w:eastAsia="楷体_GB2312"/>
          <w:szCs w:val="32"/>
        </w:rPr>
        <w:t>（四）预算绩效情况</w:t>
      </w:r>
    </w:p>
    <w:p>
      <w:pPr>
        <w:widowControl/>
        <w:spacing w:line="580" w:lineRule="exact"/>
        <w:ind w:firstLine="540"/>
        <w:rPr>
          <w:rFonts w:ascii="仿宋_GB2312" w:eastAsia="仿宋_GB2312"/>
          <w:kern w:val="0"/>
          <w:szCs w:val="32"/>
        </w:rPr>
      </w:pPr>
      <w:r>
        <w:rPr>
          <w:rFonts w:hint="eastAsia" w:ascii="仿宋_GB2312" w:eastAsia="仿宋_GB2312"/>
          <w:b/>
          <w:bCs/>
          <w:kern w:val="0"/>
          <w:szCs w:val="32"/>
        </w:rPr>
        <w:t>1、预算绩效管理工作开展情况。</w:t>
      </w:r>
      <w:r>
        <w:rPr>
          <w:rFonts w:hint="eastAsia" w:ascii="仿宋_GB2312" w:eastAsia="仿宋_GB2312"/>
          <w:kern w:val="0"/>
          <w:szCs w:val="32"/>
        </w:rPr>
        <w:t>根据预算绩效管理要求，济宁市应急管理局按照“谁用款、谁评价”的原则，组织对局机关及所属单位，对2019年度市级部门预算项目进行全面自评，涵盖项目6个，涉及预算资金1309.92万元，占部门预算项目支出总额的100%，主要原因是按照相关要求进行自评。</w:t>
      </w:r>
    </w:p>
    <w:p>
      <w:pPr>
        <w:widowControl/>
        <w:spacing w:line="580" w:lineRule="exact"/>
        <w:ind w:firstLine="540"/>
        <w:rPr>
          <w:rFonts w:hint="eastAsia" w:ascii="仿宋_GB2312" w:eastAsia="仿宋_GB2312"/>
          <w:kern w:val="0"/>
          <w:szCs w:val="32"/>
        </w:rPr>
      </w:pPr>
      <w:r>
        <w:rPr>
          <w:rFonts w:hint="eastAsia" w:ascii="仿宋_GB2312" w:eastAsia="仿宋_GB2312"/>
          <w:kern w:val="0"/>
          <w:szCs w:val="32"/>
        </w:rPr>
        <w:t>组织对“上年结转”（济宁市应急管理局）“上年结转”（济宁市安全生产技术服务中心）、“会议经费”、“安全生产专项资金”、“乡镇安全检查员奖补资金”、“安全生产考试等费用”等6个项目开展了部门评价，涉及资金1309.92万元，上述项目委托第三方机构开展绩效评价。从评价情况来看，上述6个项目完成情况较好，主要表现为：项目立项程序完整、规范，设置了明确的绩效目标，财务相关管理制度较健全，预算执行及时、有效，群众满意度较高，基本实现了预期。</w:t>
      </w:r>
    </w:p>
    <w:p>
      <w:pPr>
        <w:spacing w:line="600" w:lineRule="exact"/>
        <w:ind w:firstLine="643" w:firstLineChars="200"/>
        <w:rPr>
          <w:rFonts w:ascii="仿宋_GB2312" w:eastAsia="仿宋_GB2312" w:cs="仿宋_GB2312"/>
          <w:szCs w:val="32"/>
          <w:highlight w:val="red"/>
        </w:rPr>
      </w:pPr>
      <w:r>
        <w:rPr>
          <w:rFonts w:hint="eastAsia" w:ascii="仿宋_GB2312" w:eastAsia="仿宋_GB2312"/>
          <w:b/>
          <w:bCs/>
          <w:kern w:val="0"/>
          <w:szCs w:val="32"/>
        </w:rPr>
        <w:t>2、部门决算中项目绩效自评结果。</w:t>
      </w:r>
      <w:r>
        <w:rPr>
          <w:rFonts w:hint="eastAsia" w:ascii="仿宋_GB2312" w:eastAsia="仿宋_GB2312"/>
          <w:szCs w:val="32"/>
        </w:rPr>
        <w:t>济宁市应急管理局2019年度市级部门预算项目绩效自评的6个项目中，有5个项目自评等级为优，0个项目自评等级为良，1个项目自评等级为中。</w:t>
      </w:r>
      <w:r>
        <w:rPr>
          <w:rFonts w:hint="eastAsia" w:ascii="仿宋_GB2312" w:eastAsia="仿宋_GB2312" w:cs="仿宋_GB2312"/>
          <w:szCs w:val="32"/>
        </w:rPr>
        <w:t>从自评情况看，项目支出绩效管理的重视程度进一步提升，大部分项目有序开展，执行和完成情况较好，资金使用比较规范，但也存在部分项目产出指标低于预期、项目实施进展慢等问题。</w:t>
      </w:r>
    </w:p>
    <w:p>
      <w:pPr>
        <w:spacing w:line="600" w:lineRule="exact"/>
        <w:ind w:firstLine="640" w:firstLineChars="200"/>
        <w:rPr>
          <w:rFonts w:ascii="仿宋_GB2312" w:eastAsia="仿宋_GB2312"/>
          <w:szCs w:val="32"/>
          <w:u w:val="single"/>
        </w:rPr>
      </w:pPr>
      <w:r>
        <w:rPr>
          <w:rFonts w:hint="eastAsia" w:ascii="仿宋_GB2312" w:eastAsia="仿宋_GB2312"/>
          <w:szCs w:val="32"/>
        </w:rPr>
        <w:t>今年在部门决算中反映了2019年度济宁市应急管理局项目支出绩效自评情况，以及“上年结转”（济宁市应急管理局）“上年结转”（济宁市安全生产技术服务中心）、“会议经费”、“安全生产专项资金”、“乡镇安全检查员奖补资金”、“安全生产考试等费用”等6个项目的绩效自评具体结果。</w:t>
      </w:r>
    </w:p>
    <w:p>
      <w:pPr>
        <w:spacing w:line="600" w:lineRule="exact"/>
        <w:ind w:firstLine="643" w:firstLineChars="200"/>
        <w:rPr>
          <w:rFonts w:ascii="仿宋_GB2312" w:eastAsia="仿宋_GB2312"/>
          <w:szCs w:val="32"/>
        </w:rPr>
      </w:pPr>
      <w:r>
        <w:rPr>
          <w:rFonts w:hint="eastAsia" w:ascii="仿宋_GB2312" w:eastAsia="仿宋_GB2312"/>
          <w:b/>
          <w:bCs/>
          <w:kern w:val="0"/>
          <w:szCs w:val="32"/>
        </w:rPr>
        <w:t>3、部门评价项目绩效评价结果</w:t>
      </w:r>
    </w:p>
    <w:p>
      <w:pPr>
        <w:widowControl/>
        <w:spacing w:line="600" w:lineRule="atLeast"/>
        <w:ind w:firstLine="640" w:firstLineChars="200"/>
        <w:rPr>
          <w:rFonts w:ascii="仿宋_GB2312" w:eastAsia="仿宋_GB2312"/>
          <w:b/>
          <w:bCs/>
          <w:kern w:val="0"/>
          <w:szCs w:val="32"/>
          <w:highlight w:val="red"/>
        </w:rPr>
      </w:pPr>
      <w:r>
        <w:rPr>
          <w:rFonts w:hint="eastAsia" w:ascii="仿宋_GB2312" w:eastAsia="仿宋_GB2312"/>
          <w:kern w:val="0"/>
          <w:szCs w:val="32"/>
        </w:rPr>
        <w:t>以“上年结转”（济宁市应急管理局）项目为例，该项目绩效评价综合得分90.8，评价结果为“优”。（绩效评价报告详见“第五部分 附件”）</w:t>
      </w:r>
    </w:p>
    <w:p>
      <w:pPr>
        <w:ind w:firstLine="640" w:firstLineChars="200"/>
        <w:rPr>
          <w:rFonts w:ascii="仿宋_GB2312" w:eastAsia="仿宋_GB2312"/>
          <w:kern w:val="0"/>
          <w:szCs w:val="32"/>
          <w:highlight w:val="red"/>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z w:val="42"/>
        </w:rPr>
      </w:pPr>
    </w:p>
    <w:p>
      <w:pPr>
        <w:ind w:firstLine="540" w:firstLineChars="100"/>
        <w:rPr>
          <w:rFonts w:ascii="方正小标宋简体" w:eastAsia="方正小标宋简体"/>
          <w:spacing w:val="60"/>
          <w:sz w:val="42"/>
        </w:rPr>
      </w:pPr>
      <w:r>
        <w:rPr>
          <w:rFonts w:hint="eastAsia" w:ascii="方正小标宋简体" w:eastAsia="方正小标宋简体"/>
          <w:spacing w:val="60"/>
          <w:sz w:val="42"/>
        </w:rPr>
        <w:t>第四部分</w:t>
      </w:r>
    </w:p>
    <w:p>
      <w:pPr>
        <w:jc w:val="center"/>
        <w:rPr>
          <w:rFonts w:ascii="方正小标宋简体" w:eastAsia="方正小标宋简体"/>
          <w:spacing w:val="60"/>
          <w:sz w:val="42"/>
        </w:rPr>
      </w:pPr>
    </w:p>
    <w:p>
      <w:pPr>
        <w:jc w:val="center"/>
        <w:rPr>
          <w:rFonts w:ascii="方正小标宋简体" w:eastAsia="方正小标宋简体"/>
          <w:spacing w:val="60"/>
          <w:sz w:val="42"/>
        </w:rPr>
      </w:pPr>
    </w:p>
    <w:p>
      <w:pPr>
        <w:jc w:val="center"/>
        <w:rPr>
          <w:rFonts w:ascii="方正小标宋简体" w:eastAsia="方正小标宋简体"/>
          <w:spacing w:val="60"/>
          <w:sz w:val="48"/>
        </w:rPr>
      </w:pPr>
      <w:r>
        <w:rPr>
          <w:rFonts w:hint="eastAsia" w:ascii="方正小标宋简体" w:eastAsia="方正小标宋简体"/>
          <w:spacing w:val="60"/>
          <w:sz w:val="48"/>
        </w:rPr>
        <w:t>名词解释</w:t>
      </w: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rPr>
          <w:rFonts w:ascii="方正小标宋简体" w:eastAsia="方正小标宋简体"/>
          <w:spacing w:val="60"/>
          <w:sz w:val="48"/>
        </w:rPr>
      </w:pPr>
    </w:p>
    <w:p>
      <w:pPr>
        <w:jc w:val="left"/>
        <w:rPr>
          <w:rFonts w:ascii="方正小标宋简体" w:eastAsia="方正小标宋简体"/>
          <w:spacing w:val="60"/>
          <w:szCs w:val="32"/>
        </w:rPr>
      </w:pPr>
    </w:p>
    <w:p>
      <w:pPr>
        <w:jc w:val="left"/>
        <w:rPr>
          <w:rFonts w:ascii="方正小标宋简体" w:eastAsia="方正小标宋简体"/>
          <w:spacing w:val="60"/>
          <w:szCs w:val="32"/>
        </w:rPr>
      </w:pPr>
    </w:p>
    <w:p>
      <w:pPr>
        <w:ind w:firstLine="640" w:firstLineChars="200"/>
        <w:rPr>
          <w:rFonts w:ascii="仿宋_GB2312" w:eastAsia="仿宋_GB2312"/>
          <w:szCs w:val="32"/>
        </w:rPr>
      </w:pPr>
      <w:r>
        <w:rPr>
          <w:rFonts w:hint="eastAsia" w:ascii="黑体" w:hAnsi="黑体" w:eastAsia="黑体"/>
          <w:color w:val="000000"/>
          <w:szCs w:val="32"/>
        </w:rPr>
        <w:t>一、财政拨款收入：</w:t>
      </w:r>
      <w:r>
        <w:rPr>
          <w:rFonts w:hint="eastAsia" w:ascii="仿宋_GB2312" w:eastAsia="仿宋_GB2312"/>
          <w:szCs w:val="32"/>
        </w:rPr>
        <w:t>指单位从同级财政部门取得的财政预算资金。按现行管理制度，市级部门决算中反映的财政拨款包括一般公共预算财政拨款和政府性基金财政拨款。</w:t>
      </w:r>
    </w:p>
    <w:p>
      <w:pPr>
        <w:ind w:firstLine="640" w:firstLineChars="200"/>
        <w:rPr>
          <w:rFonts w:ascii="仿宋_GB2312" w:hAnsi="仿宋" w:eastAsia="仿宋_GB2312"/>
          <w:szCs w:val="32"/>
        </w:rPr>
      </w:pPr>
      <w:r>
        <w:rPr>
          <w:rFonts w:hint="eastAsia" w:ascii="黑体" w:hAnsi="黑体" w:eastAsia="黑体"/>
          <w:szCs w:val="32"/>
        </w:rPr>
        <w:t>二、上级补助收入：</w:t>
      </w:r>
      <w:r>
        <w:rPr>
          <w:rFonts w:hint="eastAsia" w:ascii="仿宋_GB2312" w:hAnsi="仿宋" w:eastAsia="仿宋_GB2312"/>
          <w:szCs w:val="32"/>
        </w:rPr>
        <w:t>指事业单位从主管部门和上级单位取得的非财政补助收入。</w:t>
      </w:r>
    </w:p>
    <w:p>
      <w:pPr>
        <w:ind w:firstLine="640" w:firstLineChars="200"/>
        <w:rPr>
          <w:rFonts w:ascii="仿宋_GB2312" w:hAnsi="仿宋" w:eastAsia="仿宋_GB2312"/>
          <w:szCs w:val="32"/>
        </w:rPr>
      </w:pPr>
      <w:r>
        <w:rPr>
          <w:rFonts w:hint="eastAsia" w:ascii="黑体" w:hAnsi="黑体" w:eastAsia="黑体"/>
          <w:szCs w:val="32"/>
        </w:rPr>
        <w:t>三、事业收入：</w:t>
      </w:r>
      <w:r>
        <w:rPr>
          <w:rFonts w:hint="eastAsia" w:ascii="仿宋_GB2312" w:hAnsi="仿宋" w:eastAsia="仿宋_GB2312"/>
          <w:szCs w:val="32"/>
        </w:rPr>
        <w:t>指事业单位开展专业业务活动及其辅助活动取得的收入。包括事业单位收到的财政专户实际核拨的教育收费等。</w:t>
      </w:r>
    </w:p>
    <w:p>
      <w:pPr>
        <w:ind w:firstLine="640" w:firstLineChars="200"/>
        <w:rPr>
          <w:rFonts w:ascii="仿宋_GB2312" w:hAnsi="仿宋" w:eastAsia="仿宋_GB2312"/>
          <w:szCs w:val="32"/>
        </w:rPr>
      </w:pPr>
      <w:r>
        <w:rPr>
          <w:rFonts w:hint="eastAsia" w:ascii="黑体" w:hAnsi="黑体" w:eastAsia="黑体"/>
          <w:szCs w:val="32"/>
        </w:rPr>
        <w:t>四、经营收入：</w:t>
      </w:r>
      <w:r>
        <w:rPr>
          <w:rFonts w:hint="eastAsia" w:ascii="仿宋_GB2312" w:hAnsi="仿宋" w:eastAsia="仿宋_GB2312"/>
          <w:szCs w:val="32"/>
        </w:rPr>
        <w:t>指事业单位在专业业务活动及其辅助活动之外开展非独立核算经营活动取得的收入。</w:t>
      </w:r>
    </w:p>
    <w:p>
      <w:pPr>
        <w:ind w:firstLine="640" w:firstLineChars="200"/>
        <w:rPr>
          <w:rFonts w:ascii="仿宋_GB2312" w:hAnsi="仿宋" w:eastAsia="仿宋_GB2312"/>
          <w:szCs w:val="32"/>
        </w:rPr>
      </w:pPr>
      <w:r>
        <w:rPr>
          <w:rFonts w:hint="eastAsia" w:ascii="黑体" w:hAnsi="黑体" w:eastAsia="黑体"/>
          <w:szCs w:val="32"/>
        </w:rPr>
        <w:t>五、附属单位上缴收入：</w:t>
      </w:r>
      <w:r>
        <w:rPr>
          <w:rFonts w:hint="eastAsia" w:ascii="仿宋_GB2312" w:hAnsi="仿宋" w:eastAsia="仿宋_GB2312"/>
          <w:szCs w:val="32"/>
        </w:rPr>
        <w:t>指事业单位附属独立核算单位按照有关规定上缴的收入。</w:t>
      </w:r>
    </w:p>
    <w:p>
      <w:pPr>
        <w:ind w:firstLine="640" w:firstLineChars="200"/>
        <w:rPr>
          <w:rFonts w:ascii="仿宋_GB2312" w:hAnsi="仿宋" w:eastAsia="仿宋_GB2312"/>
          <w:szCs w:val="32"/>
        </w:rPr>
      </w:pPr>
      <w:r>
        <w:rPr>
          <w:rFonts w:hint="eastAsia" w:ascii="黑体" w:hAnsi="黑体" w:eastAsia="黑体"/>
          <w:szCs w:val="32"/>
        </w:rPr>
        <w:t>六、其他收入：</w:t>
      </w:r>
      <w:r>
        <w:rPr>
          <w:rFonts w:hint="eastAsia" w:ascii="仿宋_GB2312" w:hAnsi="仿宋" w:eastAsia="仿宋_GB2312"/>
          <w:szCs w:val="32"/>
        </w:rPr>
        <w:t>指单位取得的除上述“</w:t>
      </w:r>
      <w:r>
        <w:rPr>
          <w:rFonts w:hint="eastAsia" w:ascii="仿宋_GB2312" w:eastAsia="仿宋_GB2312"/>
          <w:szCs w:val="32"/>
        </w:rPr>
        <w:t>财政拨款收入</w:t>
      </w:r>
      <w:r>
        <w:rPr>
          <w:rFonts w:hint="eastAsia" w:ascii="仿宋_GB2312" w:hAnsi="仿宋" w:eastAsia="仿宋_GB2312"/>
          <w:szCs w:val="32"/>
        </w:rPr>
        <w:t>”“上级补助收入”“事业收入”“经营收入”“附属单位上缴收入”等以外的各项收入。</w:t>
      </w:r>
    </w:p>
    <w:p>
      <w:pPr>
        <w:ind w:firstLine="640" w:firstLineChars="200"/>
        <w:rPr>
          <w:rFonts w:ascii="仿宋_GB2312" w:eastAsia="仿宋_GB2312"/>
          <w:szCs w:val="32"/>
        </w:rPr>
      </w:pPr>
      <w:r>
        <w:rPr>
          <w:rFonts w:hint="eastAsia" w:ascii="黑体" w:hAnsi="黑体" w:eastAsia="黑体"/>
          <w:szCs w:val="32"/>
        </w:rPr>
        <w:t>七、用事业基金弥补收支差额：</w:t>
      </w:r>
      <w:r>
        <w:rPr>
          <w:rFonts w:hint="eastAsia" w:ascii="仿宋_GB2312" w:eastAsia="仿宋_GB2312"/>
          <w:szCs w:val="32"/>
        </w:rPr>
        <w:t>指事业单位在用本年的“财政拨款收入”“财政拨款结转和结余资金”“事业收入”“经营收入”“其他收入”等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eastAsia="仿宋_GB2312"/>
          <w:szCs w:val="32"/>
        </w:rPr>
      </w:pPr>
      <w:r>
        <w:rPr>
          <w:rFonts w:hint="eastAsia" w:ascii="黑体" w:hAnsi="黑体" w:eastAsia="黑体"/>
          <w:szCs w:val="32"/>
        </w:rPr>
        <w:t>八、年初结转和结余：</w:t>
      </w:r>
      <w:r>
        <w:rPr>
          <w:rFonts w:hint="eastAsia" w:ascii="仿宋_GB2312" w:eastAsia="仿宋_GB2312"/>
          <w:szCs w:val="32"/>
        </w:rPr>
        <w:t>指单位以前年度尚未完成、结转到本年仍按原规定用途继续使用的资金，或项目已完成等产生的结余资金。</w:t>
      </w:r>
    </w:p>
    <w:p>
      <w:pPr>
        <w:ind w:firstLine="640" w:firstLineChars="200"/>
        <w:rPr>
          <w:rFonts w:ascii="仿宋_GB2312" w:eastAsia="仿宋_GB2312"/>
          <w:szCs w:val="32"/>
        </w:rPr>
      </w:pPr>
      <w:r>
        <w:rPr>
          <w:rFonts w:hint="eastAsia" w:ascii="黑体" w:hAnsi="黑体" w:eastAsia="黑体"/>
          <w:szCs w:val="32"/>
        </w:rPr>
        <w:t>九、结余分配：</w:t>
      </w:r>
      <w:r>
        <w:rPr>
          <w:rFonts w:hint="eastAsia" w:ascii="仿宋_GB2312" w:eastAsia="仿宋_GB2312"/>
          <w:szCs w:val="32"/>
        </w:rPr>
        <w:t>指事业单位按照会计制度规定缴纳的所得税以及从非财政拨款结余或经营结余中提取的各类基金。</w:t>
      </w:r>
    </w:p>
    <w:p>
      <w:pPr>
        <w:ind w:firstLine="640" w:firstLineChars="200"/>
        <w:rPr>
          <w:rFonts w:ascii="仿宋_GB2312" w:hAnsi="仿宋" w:eastAsia="仿宋_GB2312"/>
          <w:szCs w:val="32"/>
        </w:rPr>
      </w:pPr>
      <w:r>
        <w:rPr>
          <w:rFonts w:hint="eastAsia" w:ascii="黑体" w:hAnsi="黑体" w:eastAsia="黑体"/>
          <w:szCs w:val="32"/>
        </w:rPr>
        <w:t>十、年末结转和结余：</w:t>
      </w:r>
      <w:r>
        <w:rPr>
          <w:rFonts w:hint="eastAsia" w:ascii="仿宋_GB2312" w:hAnsi="仿宋" w:eastAsia="仿宋_GB2312"/>
          <w:szCs w:val="32"/>
        </w:rPr>
        <w:t>指单位本年度或以前年度预算安排、因客观条件发生变化未全部执行或未执行，结转到以后年度继续使用的资金，或项目已完成等产生的结余资金。</w:t>
      </w:r>
    </w:p>
    <w:p>
      <w:pPr>
        <w:ind w:firstLine="640" w:firstLineChars="200"/>
        <w:rPr>
          <w:rFonts w:ascii="仿宋_GB2312" w:eastAsia="仿宋_GB2312"/>
          <w:szCs w:val="32"/>
        </w:rPr>
      </w:pPr>
      <w:r>
        <w:rPr>
          <w:rFonts w:hint="eastAsia" w:ascii="黑体" w:hAnsi="黑体" w:eastAsia="黑体"/>
          <w:szCs w:val="32"/>
        </w:rPr>
        <w:t>十一、基本支出：</w:t>
      </w:r>
      <w:r>
        <w:rPr>
          <w:rFonts w:hint="eastAsia" w:ascii="仿宋_GB2312" w:eastAsia="仿宋_GB2312"/>
          <w:szCs w:val="32"/>
        </w:rPr>
        <w:t>指单位为保障其机构正常运转、完成日常工作任务而发生的人员支出和日常公用支出。</w:t>
      </w:r>
    </w:p>
    <w:p>
      <w:pPr>
        <w:ind w:firstLine="640" w:firstLineChars="200"/>
        <w:rPr>
          <w:rFonts w:ascii="仿宋_GB2312" w:eastAsia="仿宋_GB2312"/>
          <w:szCs w:val="32"/>
        </w:rPr>
      </w:pPr>
      <w:r>
        <w:rPr>
          <w:rFonts w:hint="eastAsia" w:ascii="黑体" w:hAnsi="黑体" w:eastAsia="黑体"/>
          <w:szCs w:val="32"/>
        </w:rPr>
        <w:t>十二、项目支出：</w:t>
      </w:r>
      <w:r>
        <w:rPr>
          <w:rFonts w:hint="eastAsia" w:ascii="仿宋_GB2312" w:eastAsia="仿宋_GB2312"/>
          <w:szCs w:val="32"/>
        </w:rPr>
        <w:t>指单位在基本支出之外为完成特定的工作任务或事业发展目标所发生的支出。</w:t>
      </w:r>
    </w:p>
    <w:p>
      <w:pPr>
        <w:ind w:firstLine="640" w:firstLineChars="200"/>
        <w:rPr>
          <w:rFonts w:ascii="仿宋_GB2312" w:eastAsia="仿宋_GB2312"/>
          <w:szCs w:val="32"/>
        </w:rPr>
      </w:pPr>
      <w:r>
        <w:rPr>
          <w:rFonts w:hint="eastAsia" w:ascii="黑体" w:hAnsi="黑体" w:eastAsia="黑体"/>
          <w:szCs w:val="32"/>
        </w:rPr>
        <w:t>十三、经营支出：</w:t>
      </w:r>
      <w:r>
        <w:rPr>
          <w:rFonts w:hint="eastAsia" w:ascii="仿宋_GB2312" w:eastAsia="仿宋_GB2312"/>
          <w:szCs w:val="32"/>
        </w:rPr>
        <w:t>指事业单位在专业业务活动及其辅助活动之外开展非独立核算经营活动发生的支出。</w:t>
      </w:r>
    </w:p>
    <w:p>
      <w:pPr>
        <w:ind w:firstLine="640" w:firstLineChars="200"/>
        <w:rPr>
          <w:rFonts w:ascii="仿宋_GB2312" w:eastAsia="仿宋_GB2312"/>
          <w:szCs w:val="32"/>
        </w:rPr>
      </w:pPr>
      <w:r>
        <w:rPr>
          <w:rFonts w:hint="eastAsia" w:ascii="黑体" w:hAnsi="黑体" w:eastAsia="黑体"/>
          <w:szCs w:val="32"/>
        </w:rPr>
        <w:t>十四、“三公”经费：</w:t>
      </w:r>
      <w:r>
        <w:rPr>
          <w:rFonts w:hint="eastAsia" w:ascii="仿宋_GB2312" w:eastAsia="仿宋_GB2312"/>
          <w:szCs w:val="32"/>
        </w:rPr>
        <w:t>指市级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按规定保留的公务用车燃料费、维修费、过路过桥费、保险费、安全奖励费用等支出；公务接待费反映单位按规定开支的各类公务接待（含外宾接待）支出。</w:t>
      </w:r>
    </w:p>
    <w:p>
      <w:pPr>
        <w:ind w:firstLine="640" w:firstLineChars="200"/>
        <w:rPr>
          <w:rFonts w:ascii="仿宋_GB2312" w:eastAsia="仿宋_GB2312"/>
          <w:szCs w:val="32"/>
        </w:rPr>
      </w:pPr>
      <w:r>
        <w:rPr>
          <w:rFonts w:hint="eastAsia" w:ascii="黑体" w:hAnsi="黑体" w:eastAsia="黑体"/>
          <w:szCs w:val="32"/>
        </w:rPr>
        <w:t>十五、机关运行经费：</w:t>
      </w:r>
      <w:r>
        <w:rPr>
          <w:rFonts w:hint="eastAsia" w:ascii="仿宋_GB2312" w:eastAsia="仿宋_GB231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Cs w:val="32"/>
        </w:rPr>
      </w:pPr>
      <w:r>
        <w:rPr>
          <w:rFonts w:hint="eastAsia" w:ascii="黑体" w:hAnsi="黑体" w:eastAsia="黑体"/>
          <w:szCs w:val="32"/>
        </w:rPr>
        <w:t>十六、上缴上级支出：</w:t>
      </w:r>
      <w:r>
        <w:rPr>
          <w:rFonts w:hint="eastAsia" w:ascii="仿宋_GB2312" w:eastAsia="仿宋_GB2312"/>
          <w:szCs w:val="32"/>
        </w:rPr>
        <w:t>指事业单位按照财政部门和主管部门的规定上缴上级单位的支出。</w:t>
      </w:r>
    </w:p>
    <w:p>
      <w:pPr>
        <w:ind w:firstLine="640" w:firstLineChars="200"/>
        <w:rPr>
          <w:rFonts w:ascii="仿宋_GB2312" w:eastAsia="仿宋_GB2312"/>
          <w:szCs w:val="32"/>
        </w:rPr>
      </w:pPr>
      <w:r>
        <w:rPr>
          <w:rFonts w:hint="eastAsia" w:ascii="黑体" w:hAnsi="黑体" w:eastAsia="黑体"/>
          <w:szCs w:val="32"/>
        </w:rPr>
        <w:t>十七、对附属单位补助支出：</w:t>
      </w:r>
      <w:r>
        <w:rPr>
          <w:rFonts w:hint="eastAsia" w:ascii="仿宋_GB2312" w:eastAsia="仿宋_GB2312"/>
          <w:szCs w:val="32"/>
        </w:rPr>
        <w:t>指事业单位用财政补助收入之外的收入对附属单位补助发生的支出。</w:t>
      </w:r>
    </w:p>
    <w:p>
      <w:pPr>
        <w:ind w:firstLine="640" w:firstLineChars="200"/>
        <w:rPr>
          <w:rFonts w:ascii="仿宋_GB2312" w:eastAsia="仿宋_GB2312"/>
          <w:szCs w:val="32"/>
        </w:rPr>
      </w:pPr>
      <w:r>
        <w:rPr>
          <w:rFonts w:ascii="黑体" w:hAnsi="黑体" w:eastAsia="黑体"/>
          <w:szCs w:val="32"/>
        </w:rPr>
        <w:t>十八、一般公共服务支出（类）发展和改革事务（款）物价管理（项）：</w:t>
      </w:r>
      <w:r>
        <w:rPr>
          <w:rFonts w:ascii="仿宋_GB2312" w:eastAsia="仿宋_GB2312"/>
          <w:szCs w:val="32"/>
        </w:rPr>
        <w:t>反映物价管理方面的支出。</w:t>
      </w:r>
    </w:p>
    <w:p>
      <w:pPr>
        <w:ind w:firstLine="640" w:firstLineChars="200"/>
        <w:rPr>
          <w:rFonts w:ascii="仿宋_GB2312" w:eastAsia="仿宋_GB2312"/>
          <w:szCs w:val="32"/>
        </w:rPr>
      </w:pPr>
      <w:r>
        <w:rPr>
          <w:rFonts w:ascii="黑体" w:hAnsi="黑体" w:eastAsia="黑体"/>
          <w:szCs w:val="32"/>
        </w:rPr>
        <w:t>十九、一般公共服务支出（类）其他一般公共服务支出（款）其他一般公共服务支出（项）：</w:t>
      </w:r>
      <w:r>
        <w:rPr>
          <w:rFonts w:ascii="仿宋_GB2312" w:eastAsia="仿宋_GB2312"/>
          <w:szCs w:val="32"/>
        </w:rPr>
        <w:t>反映除上述项目以外的其他一般公共服务支出。</w:t>
      </w:r>
    </w:p>
    <w:p>
      <w:pPr>
        <w:ind w:firstLine="640" w:firstLineChars="200"/>
        <w:rPr>
          <w:rFonts w:ascii="仿宋_GB2312" w:eastAsia="仿宋_GB2312"/>
          <w:szCs w:val="32"/>
        </w:rPr>
      </w:pPr>
      <w:r>
        <w:rPr>
          <w:rFonts w:ascii="黑体" w:hAnsi="黑体" w:eastAsia="黑体"/>
          <w:szCs w:val="32"/>
        </w:rPr>
        <w:t>二十、资源勘探信息等支出（类）工业和信息产业监管（款）电子专项工程（项）：</w:t>
      </w:r>
      <w:r>
        <w:rPr>
          <w:rFonts w:ascii="仿宋_GB2312" w:eastAsia="仿宋_GB2312"/>
          <w:szCs w:val="32"/>
        </w:rPr>
        <w:t>反映电子专项工程支出。</w:t>
      </w:r>
    </w:p>
    <w:p>
      <w:pPr>
        <w:ind w:firstLine="640" w:firstLineChars="200"/>
        <w:rPr>
          <w:rFonts w:ascii="黑体" w:hAnsi="黑体" w:eastAsia="黑体"/>
          <w:szCs w:val="32"/>
        </w:rPr>
      </w:pPr>
      <w:r>
        <w:rPr>
          <w:rFonts w:ascii="黑体" w:hAnsi="黑体" w:eastAsia="黑体"/>
          <w:szCs w:val="32"/>
        </w:rPr>
        <w:t>二十一、灾害防治及应急管理支出（类）应急管理事务</w:t>
      </w:r>
    </w:p>
    <w:p>
      <w:pPr>
        <w:ind w:firstLine="640" w:firstLineChars="200"/>
        <w:rPr>
          <w:rFonts w:ascii="仿宋_GB2312" w:eastAsia="仿宋_GB2312"/>
          <w:szCs w:val="32"/>
        </w:rPr>
      </w:pPr>
      <w:r>
        <w:rPr>
          <w:rFonts w:ascii="黑体" w:hAnsi="黑体" w:eastAsia="黑体"/>
          <w:szCs w:val="32"/>
        </w:rPr>
        <w:t>（款）行政运行（项）：</w:t>
      </w:r>
      <w:r>
        <w:rPr>
          <w:rFonts w:ascii="仿宋_GB2312" w:eastAsia="仿宋_GB2312"/>
          <w:szCs w:val="32"/>
        </w:rPr>
        <w:t>反映</w:t>
      </w:r>
      <w:r>
        <w:rPr>
          <w:rFonts w:hint="eastAsia" w:ascii="仿宋_GB2312" w:eastAsia="仿宋_GB2312"/>
          <w:szCs w:val="32"/>
        </w:rPr>
        <w:t>行政事业单位（包含实行公务员管理的事业单位）</w:t>
      </w:r>
      <w:r>
        <w:rPr>
          <w:rFonts w:ascii="仿宋_GB2312" w:eastAsia="仿宋_GB2312"/>
          <w:szCs w:val="32"/>
        </w:rPr>
        <w:t>基本支出。</w:t>
      </w:r>
    </w:p>
    <w:p>
      <w:pPr>
        <w:ind w:firstLine="640" w:firstLineChars="200"/>
        <w:rPr>
          <w:rFonts w:ascii="仿宋_GB2312" w:eastAsia="仿宋_GB2312"/>
          <w:szCs w:val="32"/>
        </w:rPr>
      </w:pPr>
      <w:r>
        <w:rPr>
          <w:rFonts w:ascii="黑体" w:hAnsi="黑体" w:eastAsia="黑体"/>
          <w:szCs w:val="32"/>
        </w:rPr>
        <w:t>二十二、灾害防治及应急管理支出（类）应急管理事务（款）一般行政管理事务（项）：</w:t>
      </w:r>
      <w:r>
        <w:rPr>
          <w:rFonts w:ascii="仿宋_GB2312" w:eastAsia="仿宋_GB2312"/>
          <w:szCs w:val="32"/>
        </w:rPr>
        <w:t>反映</w:t>
      </w:r>
      <w:r>
        <w:rPr>
          <w:rFonts w:hint="eastAsia" w:ascii="仿宋_GB2312" w:eastAsia="仿宋_GB2312"/>
          <w:szCs w:val="32"/>
        </w:rPr>
        <w:t>行政事业单位（包含实行公务员管理的事业单位）</w:t>
      </w:r>
      <w:r>
        <w:rPr>
          <w:rFonts w:ascii="仿宋_GB2312" w:eastAsia="仿宋_GB2312"/>
          <w:szCs w:val="32"/>
        </w:rPr>
        <w:t>未单独设置项级科目的其他项目支出。</w:t>
      </w:r>
    </w:p>
    <w:p>
      <w:pPr>
        <w:ind w:firstLine="640" w:firstLineChars="200"/>
        <w:rPr>
          <w:rFonts w:ascii="仿宋_GB2312" w:eastAsia="仿宋_GB2312"/>
          <w:szCs w:val="32"/>
        </w:rPr>
      </w:pPr>
      <w:r>
        <w:rPr>
          <w:rFonts w:ascii="黑体" w:hAnsi="黑体" w:eastAsia="黑体"/>
          <w:szCs w:val="32"/>
        </w:rPr>
        <w:t>二十三、灾害防治及应急管理支出（类）应急管理事务（款）安全监管（项）</w:t>
      </w:r>
      <w:r>
        <w:rPr>
          <w:rFonts w:ascii="仿宋_GB2312" w:eastAsia="仿宋_GB2312"/>
          <w:szCs w:val="32"/>
        </w:rPr>
        <w:t>：反映安全生产监管方面支出。</w:t>
      </w:r>
    </w:p>
    <w:p>
      <w:pPr>
        <w:ind w:firstLine="640" w:firstLineChars="200"/>
        <w:rPr>
          <w:rFonts w:ascii="仿宋_GB2312" w:eastAsia="仿宋_GB2312"/>
          <w:szCs w:val="32"/>
        </w:rPr>
      </w:pPr>
      <w:r>
        <w:rPr>
          <w:rFonts w:ascii="黑体" w:hAnsi="黑体" w:eastAsia="黑体"/>
          <w:szCs w:val="32"/>
        </w:rPr>
        <w:t>二十四、灾害防治及应急管理支出（类）应急管理事务（款）应急救援（项）：</w:t>
      </w:r>
      <w:r>
        <w:rPr>
          <w:rFonts w:ascii="仿宋_GB2312" w:eastAsia="仿宋_GB2312"/>
          <w:szCs w:val="32"/>
        </w:rPr>
        <w:t>反映安全生产、自然灾害应急救援方面的支出。</w:t>
      </w:r>
    </w:p>
    <w:p>
      <w:pPr>
        <w:ind w:firstLine="640" w:firstLineChars="200"/>
        <w:rPr>
          <w:rFonts w:ascii="仿宋_GB2312" w:eastAsia="仿宋_GB2312"/>
          <w:szCs w:val="32"/>
        </w:rPr>
      </w:pPr>
      <w:r>
        <w:rPr>
          <w:rFonts w:ascii="黑体" w:hAnsi="黑体" w:eastAsia="黑体"/>
          <w:szCs w:val="32"/>
        </w:rPr>
        <w:t>二十五、灾害防治及应急管理支出（类）应急管理事务（款）事业运行（项）：</w:t>
      </w:r>
      <w:r>
        <w:rPr>
          <w:rFonts w:ascii="仿宋_GB2312" w:eastAsia="仿宋_GB2312"/>
          <w:szCs w:val="32"/>
        </w:rPr>
        <w:t>反映事业单位的基本支出</w:t>
      </w:r>
      <w:r>
        <w:rPr>
          <w:rFonts w:hint="eastAsia" w:ascii="仿宋_GB2312" w:eastAsia="仿宋_GB2312"/>
          <w:szCs w:val="32"/>
        </w:rPr>
        <w:t>，不包含行政事业单位（包含实行公务员管理的事业单位）后勤服务中心、医务室等附属事业单位</w:t>
      </w:r>
      <w:r>
        <w:rPr>
          <w:rFonts w:ascii="仿宋_GB2312" w:eastAsia="仿宋_GB2312"/>
          <w:szCs w:val="32"/>
        </w:rPr>
        <w:t>。</w:t>
      </w:r>
    </w:p>
    <w:p>
      <w:pPr>
        <w:ind w:firstLine="640" w:firstLineChars="200"/>
        <w:rPr>
          <w:rFonts w:ascii="仿宋_GB2312" w:eastAsia="仿宋_GB2312"/>
          <w:szCs w:val="32"/>
        </w:rPr>
      </w:pPr>
      <w:r>
        <w:rPr>
          <w:rFonts w:ascii="黑体" w:hAnsi="黑体" w:eastAsia="黑体"/>
          <w:szCs w:val="32"/>
        </w:rPr>
        <w:t>二十六、灾害防治及应急管理支出（类）应急管理事务（款）其他应急管理支出（项）</w:t>
      </w:r>
      <w:r>
        <w:rPr>
          <w:rFonts w:ascii="仿宋_GB2312" w:eastAsia="仿宋_GB2312"/>
          <w:szCs w:val="32"/>
        </w:rPr>
        <w:t>：反映除上述项目外的其他应急管理方面的支出。</w:t>
      </w:r>
    </w:p>
    <w:p>
      <w:pPr>
        <w:ind w:firstLine="640" w:firstLineChars="200"/>
        <w:rPr>
          <w:rFonts w:ascii="仿宋_GB2312" w:eastAsia="仿宋_GB2312"/>
          <w:szCs w:val="32"/>
        </w:rPr>
      </w:pPr>
      <w:r>
        <w:rPr>
          <w:rFonts w:ascii="黑体" w:hAnsi="黑体" w:eastAsia="黑体"/>
          <w:szCs w:val="32"/>
        </w:rPr>
        <w:t>二十七、灾害防治及应急管理支出（类）自然灾害救灾及恢复重建支出（款）自然灾害救灾补助（项）</w:t>
      </w:r>
      <w:r>
        <w:rPr>
          <w:rFonts w:ascii="仿宋_GB2312" w:eastAsia="仿宋_GB2312"/>
          <w:szCs w:val="32"/>
        </w:rPr>
        <w:t>：洪水、地质灾害、台风等自然灾害救灾补助，扑救森林草原火灾补助的支出。</w:t>
      </w:r>
    </w:p>
    <w:p>
      <w:pPr>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p>
    <w:p>
      <w:pPr>
        <w:ind w:firstLine="540" w:firstLineChars="100"/>
        <w:rPr>
          <w:rFonts w:ascii="方正小标宋简体" w:eastAsia="方正小标宋简体"/>
          <w:spacing w:val="60"/>
          <w:sz w:val="42"/>
        </w:rPr>
      </w:pPr>
      <w:r>
        <w:rPr>
          <w:rFonts w:hint="eastAsia" w:ascii="方正小标宋简体" w:eastAsia="方正小标宋简体"/>
          <w:spacing w:val="60"/>
          <w:sz w:val="42"/>
        </w:rPr>
        <w:t>第五部分</w:t>
      </w:r>
    </w:p>
    <w:p>
      <w:pPr>
        <w:jc w:val="center"/>
        <w:rPr>
          <w:rFonts w:ascii="方正小标宋简体" w:eastAsia="方正小标宋简体"/>
          <w:spacing w:val="60"/>
          <w:sz w:val="42"/>
        </w:rPr>
      </w:pPr>
    </w:p>
    <w:p>
      <w:pPr>
        <w:jc w:val="center"/>
        <w:rPr>
          <w:rFonts w:ascii="方正小标宋简体" w:eastAsia="方正小标宋简体"/>
          <w:spacing w:val="60"/>
          <w:sz w:val="42"/>
        </w:rPr>
      </w:pPr>
    </w:p>
    <w:p>
      <w:pPr>
        <w:jc w:val="center"/>
        <w:rPr>
          <w:rFonts w:ascii="方正小标宋简体" w:eastAsia="方正小标宋简体"/>
          <w:spacing w:val="60"/>
          <w:sz w:val="48"/>
        </w:rPr>
      </w:pPr>
      <w:r>
        <w:rPr>
          <w:rFonts w:hint="eastAsia" w:ascii="方正小标宋简体" w:eastAsia="方正小标宋简体"/>
          <w:spacing w:val="60"/>
          <w:sz w:val="48"/>
        </w:rPr>
        <w:t xml:space="preserve">  附  件</w:t>
      </w:r>
    </w:p>
    <w:p>
      <w:pPr>
        <w:tabs>
          <w:tab w:val="left" w:pos="5891"/>
        </w:tabs>
        <w:spacing w:line="580" w:lineRule="exact"/>
        <w:rPr>
          <w:szCs w:val="32"/>
        </w:rPr>
        <w:sectPr>
          <w:pgSz w:w="11906" w:h="16838"/>
          <w:pgMar w:top="2098" w:right="1418" w:bottom="1871" w:left="1531" w:header="851" w:footer="992" w:gutter="0"/>
          <w:cols w:space="720" w:num="1"/>
          <w:docGrid w:type="lines" w:linePitch="312" w:charSpace="0"/>
        </w:sectPr>
      </w:pPr>
    </w:p>
    <w:tbl>
      <w:tblPr>
        <w:tblStyle w:val="4"/>
        <w:tblpPr w:leftFromText="180" w:rightFromText="180" w:vertAnchor="text" w:horzAnchor="page" w:tblpX="2027" w:tblpY="259"/>
        <w:tblOverlap w:val="never"/>
        <w:tblW w:w="13189" w:type="dxa"/>
        <w:tblInd w:w="0" w:type="dxa"/>
        <w:tblLayout w:type="fixed"/>
        <w:tblCellMar>
          <w:top w:w="15" w:type="dxa"/>
          <w:left w:w="15" w:type="dxa"/>
          <w:bottom w:w="15" w:type="dxa"/>
          <w:right w:w="15" w:type="dxa"/>
        </w:tblCellMar>
      </w:tblPr>
      <w:tblGrid>
        <w:gridCol w:w="830"/>
        <w:gridCol w:w="5686"/>
        <w:gridCol w:w="3056"/>
        <w:gridCol w:w="1783"/>
        <w:gridCol w:w="321"/>
        <w:gridCol w:w="1233"/>
        <w:gridCol w:w="280"/>
      </w:tblGrid>
      <w:tr>
        <w:tblPrEx>
          <w:tblLayout w:type="fixed"/>
          <w:tblCellMar>
            <w:top w:w="15" w:type="dxa"/>
            <w:left w:w="15" w:type="dxa"/>
            <w:bottom w:w="15" w:type="dxa"/>
            <w:right w:w="15" w:type="dxa"/>
          </w:tblCellMar>
        </w:tblPrEx>
        <w:trPr>
          <w:trHeight w:val="459" w:hRule="atLeast"/>
        </w:trPr>
        <w:tc>
          <w:tcPr>
            <w:tcW w:w="13189" w:type="dxa"/>
            <w:gridSpan w:val="7"/>
            <w:vAlign w:val="center"/>
          </w:tcPr>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2019年度济宁市应急管理局部门预算项目绩效自评情况汇总表</w:t>
            </w:r>
          </w:p>
          <w:p>
            <w:pPr>
              <w:rPr>
                <w:rFonts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gridAfter w:val="2"/>
          <w:wAfter w:w="1513" w:type="dxa"/>
          <w:trHeight w:val="483" w:hRule="atLeast"/>
        </w:trPr>
        <w:tc>
          <w:tcPr>
            <w:tcW w:w="830" w:type="dxa"/>
            <w:vAlign w:val="center"/>
          </w:tcPr>
          <w:p>
            <w:pPr>
              <w:rPr>
                <w:rFonts w:ascii="仿宋_GB2312" w:hAnsi="宋体" w:eastAsia="仿宋_GB2312" w:cs="仿宋_GB2312"/>
                <w:color w:val="000000"/>
                <w:sz w:val="28"/>
                <w:szCs w:val="28"/>
              </w:rPr>
            </w:pPr>
          </w:p>
        </w:tc>
        <w:tc>
          <w:tcPr>
            <w:tcW w:w="5686" w:type="dxa"/>
            <w:vAlign w:val="center"/>
          </w:tcPr>
          <w:p>
            <w:pPr>
              <w:rPr>
                <w:rFonts w:ascii="仿宋_GB2312" w:hAnsi="宋体" w:eastAsia="仿宋_GB2312" w:cs="仿宋_GB2312"/>
                <w:color w:val="000000"/>
                <w:sz w:val="28"/>
                <w:szCs w:val="28"/>
              </w:rPr>
            </w:pPr>
          </w:p>
        </w:tc>
        <w:tc>
          <w:tcPr>
            <w:tcW w:w="3056" w:type="dxa"/>
            <w:vAlign w:val="center"/>
          </w:tcPr>
          <w:p>
            <w:pPr>
              <w:rPr>
                <w:rFonts w:ascii="仿宋_GB2312" w:hAnsi="宋体" w:eastAsia="仿宋_GB2312" w:cs="仿宋_GB2312"/>
                <w:color w:val="000000"/>
                <w:sz w:val="28"/>
                <w:szCs w:val="28"/>
              </w:rPr>
            </w:pPr>
          </w:p>
        </w:tc>
        <w:tc>
          <w:tcPr>
            <w:tcW w:w="2104" w:type="dxa"/>
            <w:gridSpan w:val="2"/>
            <w:tcBorders>
              <w:bottom w:val="single" w:color="000000" w:sz="4" w:space="0"/>
            </w:tcBorders>
            <w:vAlign w:val="center"/>
          </w:tcPr>
          <w:p>
            <w:pPr>
              <w:widowControl/>
              <w:jc w:val="right"/>
              <w:textAlignment w:val="center"/>
              <w:rPr>
                <w:rFonts w:ascii="黑体" w:hAnsi="宋体" w:eastAsia="黑体" w:cs="黑体"/>
                <w:color w:val="000000"/>
                <w:sz w:val="24"/>
              </w:rPr>
            </w:pPr>
            <w:r>
              <w:rPr>
                <w:rFonts w:hint="eastAsia" w:ascii="黑体" w:hAnsi="宋体" w:eastAsia="黑体" w:cs="黑体"/>
                <w:color w:val="000000"/>
                <w:kern w:val="0"/>
                <w:sz w:val="24"/>
              </w:rPr>
              <w:t>单位：万元</w:t>
            </w:r>
          </w:p>
        </w:tc>
      </w:tr>
      <w:tr>
        <w:tblPrEx>
          <w:tblLayout w:type="fixed"/>
          <w:tblCellMar>
            <w:top w:w="15" w:type="dxa"/>
            <w:left w:w="15" w:type="dxa"/>
            <w:bottom w:w="15" w:type="dxa"/>
            <w:right w:w="15" w:type="dxa"/>
          </w:tblCellMar>
        </w:tblPrEx>
        <w:trPr>
          <w:gridAfter w:val="1"/>
          <w:wAfter w:w="280" w:type="dxa"/>
          <w:trHeight w:val="319" w:hRule="atLeast"/>
        </w:trPr>
        <w:tc>
          <w:tcPr>
            <w:tcW w:w="830" w:type="dxa"/>
            <w:vMerge w:val="restart"/>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序号</w:t>
            </w:r>
          </w:p>
        </w:tc>
        <w:tc>
          <w:tcPr>
            <w:tcW w:w="5686" w:type="dxa"/>
            <w:vMerge w:val="restart"/>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项目名称</w:t>
            </w:r>
          </w:p>
        </w:tc>
        <w:tc>
          <w:tcPr>
            <w:tcW w:w="3056" w:type="dxa"/>
            <w:vMerge w:val="restart"/>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资金使用单位</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w:t>
            </w:r>
          </w:p>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得分</w:t>
            </w:r>
          </w:p>
        </w:tc>
        <w:tc>
          <w:tcPr>
            <w:tcW w:w="1554"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w:t>
            </w:r>
          </w:p>
          <w:p>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等级</w:t>
            </w:r>
          </w:p>
        </w:tc>
      </w:tr>
      <w:tr>
        <w:tblPrEx>
          <w:tblLayout w:type="fixed"/>
          <w:tblCellMar>
            <w:top w:w="15" w:type="dxa"/>
            <w:left w:w="15" w:type="dxa"/>
            <w:bottom w:w="15" w:type="dxa"/>
            <w:right w:w="15" w:type="dxa"/>
          </w:tblCellMar>
        </w:tblPrEx>
        <w:trPr>
          <w:gridAfter w:val="1"/>
          <w:wAfter w:w="280" w:type="dxa"/>
          <w:trHeight w:val="513" w:hRule="atLeast"/>
        </w:trPr>
        <w:tc>
          <w:tcPr>
            <w:tcW w:w="83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黑体" w:hAnsi="宋体" w:eastAsia="黑体" w:cs="黑体"/>
                <w:color w:val="000000"/>
                <w:sz w:val="24"/>
              </w:rPr>
            </w:pPr>
          </w:p>
        </w:tc>
        <w:tc>
          <w:tcPr>
            <w:tcW w:w="5686" w:type="dxa"/>
            <w:vMerge w:val="continue"/>
            <w:tcBorders>
              <w:top w:val="single" w:color="000000" w:sz="4" w:space="0"/>
              <w:left w:val="single" w:color="auto" w:sz="4" w:space="0"/>
              <w:bottom w:val="single" w:color="000000" w:sz="4" w:space="0"/>
              <w:right w:val="single" w:color="auto" w:sz="4" w:space="0"/>
            </w:tcBorders>
            <w:vAlign w:val="center"/>
          </w:tcPr>
          <w:p>
            <w:pPr>
              <w:jc w:val="center"/>
              <w:rPr>
                <w:rFonts w:ascii="黑体" w:hAnsi="宋体" w:eastAsia="黑体" w:cs="黑体"/>
                <w:color w:val="000000"/>
                <w:sz w:val="24"/>
              </w:rPr>
            </w:pPr>
          </w:p>
        </w:tc>
        <w:tc>
          <w:tcPr>
            <w:tcW w:w="3056" w:type="dxa"/>
            <w:vMerge w:val="continue"/>
            <w:tcBorders>
              <w:top w:val="single" w:color="000000" w:sz="4" w:space="0"/>
              <w:left w:val="single" w:color="auto" w:sz="4" w:space="0"/>
              <w:bottom w:val="single" w:color="000000" w:sz="4" w:space="0"/>
              <w:right w:val="single" w:color="auto" w:sz="4" w:space="0"/>
            </w:tcBorders>
            <w:vAlign w:val="center"/>
          </w:tcPr>
          <w:p>
            <w:pPr>
              <w:jc w:val="center"/>
              <w:rPr>
                <w:rFonts w:ascii="黑体" w:hAnsi="宋体" w:eastAsia="黑体" w:cs="黑体"/>
                <w:color w:val="000000"/>
                <w:sz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24"/>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24"/>
              </w:rPr>
            </w:pPr>
          </w:p>
        </w:tc>
      </w:tr>
      <w:tr>
        <w:tblPrEx>
          <w:tblLayout w:type="fixed"/>
          <w:tblCellMar>
            <w:top w:w="15" w:type="dxa"/>
            <w:left w:w="15" w:type="dxa"/>
            <w:bottom w:w="15" w:type="dxa"/>
            <w:right w:w="15" w:type="dxa"/>
          </w:tblCellMar>
        </w:tblPrEx>
        <w:trPr>
          <w:gridAfter w:val="1"/>
          <w:wAfter w:w="280" w:type="dxa"/>
          <w:trHeight w:val="319" w:hRule="atLeast"/>
        </w:trPr>
        <w:tc>
          <w:tcPr>
            <w:tcW w:w="83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ascii="黑体" w:hAnsi="宋体" w:eastAsia="黑体" w:cs="黑体"/>
                <w:color w:val="000000"/>
                <w:sz w:val="24"/>
              </w:rPr>
            </w:pPr>
          </w:p>
        </w:tc>
        <w:tc>
          <w:tcPr>
            <w:tcW w:w="5686" w:type="dxa"/>
            <w:vMerge w:val="continue"/>
            <w:tcBorders>
              <w:top w:val="single" w:color="000000" w:sz="4" w:space="0"/>
              <w:left w:val="single" w:color="auto" w:sz="4" w:space="0"/>
              <w:bottom w:val="single" w:color="000000" w:sz="4" w:space="0"/>
              <w:right w:val="single" w:color="auto" w:sz="4" w:space="0"/>
            </w:tcBorders>
            <w:vAlign w:val="center"/>
          </w:tcPr>
          <w:p>
            <w:pPr>
              <w:jc w:val="center"/>
              <w:rPr>
                <w:rFonts w:ascii="黑体" w:hAnsi="宋体" w:eastAsia="黑体" w:cs="黑体"/>
                <w:color w:val="000000"/>
                <w:sz w:val="24"/>
              </w:rPr>
            </w:pPr>
          </w:p>
        </w:tc>
        <w:tc>
          <w:tcPr>
            <w:tcW w:w="3056" w:type="dxa"/>
            <w:vMerge w:val="continue"/>
            <w:tcBorders>
              <w:top w:val="single" w:color="000000" w:sz="4" w:space="0"/>
              <w:left w:val="single" w:color="auto" w:sz="4" w:space="0"/>
              <w:bottom w:val="single" w:color="000000" w:sz="4" w:space="0"/>
              <w:right w:val="single" w:color="auto" w:sz="4" w:space="0"/>
            </w:tcBorders>
            <w:vAlign w:val="center"/>
          </w:tcPr>
          <w:p>
            <w:pPr>
              <w:jc w:val="center"/>
              <w:rPr>
                <w:rFonts w:ascii="黑体" w:hAnsi="宋体" w:eastAsia="黑体" w:cs="黑体"/>
                <w:color w:val="000000"/>
                <w:sz w:val="24"/>
              </w:rPr>
            </w:pPr>
          </w:p>
        </w:tc>
        <w:tc>
          <w:tcPr>
            <w:tcW w:w="17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24"/>
              </w:rPr>
            </w:pPr>
          </w:p>
        </w:tc>
        <w:tc>
          <w:tcPr>
            <w:tcW w:w="1554"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24"/>
              </w:rPr>
            </w:pPr>
          </w:p>
        </w:tc>
      </w:tr>
      <w:tr>
        <w:tblPrEx>
          <w:tblLayout w:type="fixed"/>
          <w:tblCellMar>
            <w:top w:w="15" w:type="dxa"/>
            <w:left w:w="15" w:type="dxa"/>
            <w:bottom w:w="15" w:type="dxa"/>
            <w:right w:w="15" w:type="dxa"/>
          </w:tblCellMar>
        </w:tblPrEx>
        <w:trPr>
          <w:gridAfter w:val="1"/>
          <w:wAfter w:w="280" w:type="dxa"/>
          <w:trHeight w:val="444"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1</w:t>
            </w:r>
          </w:p>
        </w:tc>
        <w:tc>
          <w:tcPr>
            <w:tcW w:w="5686" w:type="dxa"/>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r>
              <w:rPr>
                <w:rFonts w:hint="eastAsia" w:ascii="仿宋_GB2312" w:hAnsi="宋体" w:eastAsia="仿宋_GB2312" w:cs="仿宋_GB2312"/>
                <w:color w:val="000000"/>
                <w:sz w:val="24"/>
              </w:rPr>
              <w:t>上年结转资金</w:t>
            </w:r>
          </w:p>
        </w:tc>
        <w:tc>
          <w:tcPr>
            <w:tcW w:w="305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r>
              <w:rPr>
                <w:rFonts w:hint="eastAsia" w:ascii="仿宋_GB2312" w:hAnsi="宋体" w:eastAsia="仿宋_GB2312" w:cs="仿宋_GB2312"/>
                <w:color w:val="000000"/>
                <w:sz w:val="24"/>
              </w:rPr>
              <w:t>济宁市应急管理局</w:t>
            </w:r>
          </w:p>
        </w:tc>
        <w:tc>
          <w:tcPr>
            <w:tcW w:w="1783" w:type="dxa"/>
            <w:tcBorders>
              <w:top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r>
              <w:rPr>
                <w:rFonts w:hint="eastAsia" w:ascii="仿宋_GB2312" w:hAnsi="宋体" w:eastAsia="仿宋_GB2312" w:cs="仿宋_GB2312"/>
                <w:color w:val="000000"/>
                <w:sz w:val="24"/>
              </w:rPr>
              <w:t>90.8</w:t>
            </w: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r>
              <w:rPr>
                <w:rFonts w:hint="eastAsia" w:ascii="仿宋_GB2312" w:hAnsi="宋体" w:eastAsia="仿宋_GB2312" w:cs="仿宋_GB2312"/>
                <w:color w:val="000000"/>
                <w:sz w:val="24"/>
              </w:rPr>
              <w:t>优</w:t>
            </w:r>
          </w:p>
        </w:tc>
      </w:tr>
      <w:tr>
        <w:tblPrEx>
          <w:tblLayout w:type="fixed"/>
          <w:tblCellMar>
            <w:top w:w="15" w:type="dxa"/>
            <w:left w:w="15" w:type="dxa"/>
            <w:bottom w:w="15" w:type="dxa"/>
            <w:right w:w="15" w:type="dxa"/>
          </w:tblCellMar>
        </w:tblPrEx>
        <w:trPr>
          <w:gridAfter w:val="1"/>
          <w:wAfter w:w="280" w:type="dxa"/>
          <w:trHeight w:val="444"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p>
        </w:tc>
        <w:tc>
          <w:tcPr>
            <w:tcW w:w="5686" w:type="dxa"/>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c>
          <w:tcPr>
            <w:tcW w:w="3056" w:type="dxa"/>
            <w:tcBorders>
              <w:top w:val="single" w:color="000000" w:sz="4" w:space="0"/>
              <w:left w:val="single" w:color="000000" w:sz="4" w:space="0"/>
              <w:bottom w:val="single" w:color="000000" w:sz="4" w:space="0"/>
              <w:right w:val="single" w:color="000000" w:sz="4" w:space="0"/>
            </w:tcBorders>
            <w:vAlign w:val="center"/>
          </w:tcPr>
          <w:p>
            <w:pPr>
              <w:jc w:val="center"/>
              <w:rPr>
                <w:sz w:val="21"/>
              </w:rPr>
            </w:pPr>
          </w:p>
        </w:tc>
        <w:tc>
          <w:tcPr>
            <w:tcW w:w="1783" w:type="dxa"/>
            <w:tcBorders>
              <w:top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gridAfter w:val="1"/>
          <w:wAfter w:w="280" w:type="dxa"/>
          <w:trHeight w:val="444"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p>
        </w:tc>
        <w:tc>
          <w:tcPr>
            <w:tcW w:w="5686" w:type="dxa"/>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c>
          <w:tcPr>
            <w:tcW w:w="3056" w:type="dxa"/>
            <w:tcBorders>
              <w:top w:val="single" w:color="000000" w:sz="4" w:space="0"/>
              <w:left w:val="single" w:color="000000" w:sz="4" w:space="0"/>
              <w:bottom w:val="single" w:color="000000" w:sz="4" w:space="0"/>
              <w:right w:val="single" w:color="000000" w:sz="4" w:space="0"/>
            </w:tcBorders>
            <w:vAlign w:val="center"/>
          </w:tcPr>
          <w:p>
            <w:pPr>
              <w:jc w:val="center"/>
              <w:rPr>
                <w:sz w:val="21"/>
              </w:rPr>
            </w:pPr>
          </w:p>
        </w:tc>
        <w:tc>
          <w:tcPr>
            <w:tcW w:w="1783" w:type="dxa"/>
            <w:tcBorders>
              <w:top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gridAfter w:val="1"/>
          <w:wAfter w:w="280" w:type="dxa"/>
          <w:trHeight w:val="378"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4"/>
              </w:rPr>
            </w:pPr>
          </w:p>
        </w:tc>
        <w:tc>
          <w:tcPr>
            <w:tcW w:w="5686" w:type="dxa"/>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c>
          <w:tcPr>
            <w:tcW w:w="3056" w:type="dxa"/>
            <w:tcBorders>
              <w:top w:val="single" w:color="000000" w:sz="4" w:space="0"/>
              <w:left w:val="single" w:color="000000" w:sz="4" w:space="0"/>
              <w:bottom w:val="single" w:color="000000" w:sz="4" w:space="0"/>
              <w:right w:val="single" w:color="000000" w:sz="4" w:space="0"/>
            </w:tcBorders>
            <w:vAlign w:val="center"/>
          </w:tcPr>
          <w:p>
            <w:pPr>
              <w:jc w:val="center"/>
              <w:rPr>
                <w:sz w:val="21"/>
              </w:rPr>
            </w:pPr>
          </w:p>
        </w:tc>
        <w:tc>
          <w:tcPr>
            <w:tcW w:w="1783" w:type="dxa"/>
            <w:tcBorders>
              <w:top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gridAfter w:val="1"/>
          <w:wAfter w:w="280" w:type="dxa"/>
          <w:trHeight w:val="444"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4"/>
              </w:rPr>
            </w:pPr>
          </w:p>
        </w:tc>
        <w:tc>
          <w:tcPr>
            <w:tcW w:w="5686" w:type="dxa"/>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c>
          <w:tcPr>
            <w:tcW w:w="3056" w:type="dxa"/>
            <w:tcBorders>
              <w:top w:val="single" w:color="000000" w:sz="4" w:space="0"/>
              <w:left w:val="single" w:color="000000" w:sz="4" w:space="0"/>
              <w:bottom w:val="single" w:color="000000" w:sz="4" w:space="0"/>
              <w:right w:val="single" w:color="000000" w:sz="4" w:space="0"/>
            </w:tcBorders>
            <w:vAlign w:val="center"/>
          </w:tcPr>
          <w:p>
            <w:pPr>
              <w:jc w:val="center"/>
              <w:rPr>
                <w:sz w:val="21"/>
              </w:rPr>
            </w:pPr>
          </w:p>
        </w:tc>
        <w:tc>
          <w:tcPr>
            <w:tcW w:w="1783" w:type="dxa"/>
            <w:tcBorders>
              <w:top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gridAfter w:val="1"/>
          <w:wAfter w:w="280" w:type="dxa"/>
          <w:trHeight w:val="444"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rPr>
              <w:t>…</w:t>
            </w:r>
          </w:p>
        </w:tc>
        <w:tc>
          <w:tcPr>
            <w:tcW w:w="5686" w:type="dxa"/>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r>
              <w:rPr>
                <w:rFonts w:hint="eastAsia" w:ascii="仿宋_GB2312" w:hAnsi="宋体" w:eastAsia="仿宋_GB2312" w:cs="仿宋_GB2312"/>
                <w:color w:val="000000"/>
                <w:sz w:val="24"/>
              </w:rPr>
              <w:t>……</w:t>
            </w:r>
          </w:p>
        </w:tc>
        <w:tc>
          <w:tcPr>
            <w:tcW w:w="3056" w:type="dxa"/>
            <w:tcBorders>
              <w:top w:val="single" w:color="000000" w:sz="4" w:space="0"/>
              <w:left w:val="single" w:color="000000" w:sz="4" w:space="0"/>
              <w:bottom w:val="single" w:color="000000" w:sz="4" w:space="0"/>
              <w:right w:val="single" w:color="000000" w:sz="4" w:space="0"/>
            </w:tcBorders>
            <w:vAlign w:val="center"/>
          </w:tcPr>
          <w:p>
            <w:pPr>
              <w:jc w:val="center"/>
              <w:rPr>
                <w:sz w:val="21"/>
              </w:rPr>
            </w:pPr>
          </w:p>
        </w:tc>
        <w:tc>
          <w:tcPr>
            <w:tcW w:w="1783" w:type="dxa"/>
            <w:tcBorders>
              <w:top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s="仿宋_GB2312"/>
                <w:color w:val="000000"/>
                <w:sz w:val="24"/>
              </w:rPr>
            </w:pPr>
          </w:p>
        </w:tc>
      </w:tr>
    </w:tbl>
    <w:p>
      <w:pPr>
        <w:tabs>
          <w:tab w:val="left" w:pos="5891"/>
        </w:tabs>
        <w:spacing w:line="580" w:lineRule="exact"/>
        <w:rPr>
          <w:rFonts w:ascii="黑体" w:hAnsi="黑体" w:eastAsia="黑体" w:cs="黑体"/>
          <w:szCs w:val="32"/>
        </w:rPr>
      </w:pPr>
    </w:p>
    <w:p>
      <w:pPr>
        <w:tabs>
          <w:tab w:val="left" w:pos="5891"/>
        </w:tabs>
        <w:spacing w:line="580" w:lineRule="exact"/>
        <w:rPr>
          <w:rFonts w:ascii="黑体" w:hAnsi="黑体" w:eastAsia="黑体" w:cs="黑体"/>
          <w:szCs w:val="32"/>
        </w:rPr>
      </w:pPr>
    </w:p>
    <w:p>
      <w:pPr>
        <w:tabs>
          <w:tab w:val="left" w:pos="5891"/>
        </w:tabs>
        <w:spacing w:line="580" w:lineRule="exact"/>
        <w:rPr>
          <w:rFonts w:ascii="黑体" w:hAnsi="黑体" w:eastAsia="黑体" w:cs="黑体"/>
          <w:szCs w:val="32"/>
        </w:rPr>
      </w:pPr>
    </w:p>
    <w:p>
      <w:pPr>
        <w:tabs>
          <w:tab w:val="left" w:pos="5891"/>
        </w:tabs>
        <w:spacing w:line="580" w:lineRule="exact"/>
        <w:rPr>
          <w:rFonts w:ascii="黑体" w:hAnsi="黑体" w:eastAsia="黑体" w:cs="黑体"/>
          <w:szCs w:val="32"/>
        </w:rPr>
      </w:pPr>
    </w:p>
    <w:p>
      <w:pPr>
        <w:tabs>
          <w:tab w:val="left" w:pos="5891"/>
        </w:tabs>
        <w:spacing w:line="580" w:lineRule="exact"/>
        <w:rPr>
          <w:rFonts w:ascii="黑体" w:hAnsi="黑体" w:eastAsia="黑体" w:cs="黑体"/>
          <w:szCs w:val="32"/>
        </w:rPr>
        <w:sectPr>
          <w:pgSz w:w="16838" w:h="11906" w:orient="landscape"/>
          <w:pgMar w:top="1531" w:right="2098" w:bottom="1417" w:left="1871" w:header="851" w:footer="992" w:gutter="0"/>
          <w:cols w:space="720" w:num="1"/>
          <w:docGrid w:type="lines" w:linePitch="319" w:charSpace="0"/>
        </w:sectPr>
      </w:pPr>
    </w:p>
    <w:tbl>
      <w:tblPr>
        <w:tblStyle w:val="4"/>
        <w:tblW w:w="9093" w:type="dxa"/>
        <w:jc w:val="center"/>
        <w:tblInd w:w="0" w:type="dxa"/>
        <w:tblLayout w:type="fixed"/>
        <w:tblCellMar>
          <w:top w:w="15" w:type="dxa"/>
          <w:left w:w="15" w:type="dxa"/>
          <w:bottom w:w="15" w:type="dxa"/>
          <w:right w:w="15" w:type="dxa"/>
        </w:tblCellMar>
      </w:tblPr>
      <w:tblGrid>
        <w:gridCol w:w="484"/>
        <w:gridCol w:w="452"/>
        <w:gridCol w:w="351"/>
        <w:gridCol w:w="498"/>
        <w:gridCol w:w="1247"/>
        <w:gridCol w:w="1866"/>
        <w:gridCol w:w="652"/>
        <w:gridCol w:w="623"/>
        <w:gridCol w:w="719"/>
        <w:gridCol w:w="2201"/>
      </w:tblGrid>
      <w:tr>
        <w:tblPrEx>
          <w:tblLayout w:type="fixed"/>
          <w:tblCellMar>
            <w:top w:w="15" w:type="dxa"/>
            <w:left w:w="15" w:type="dxa"/>
            <w:bottom w:w="15" w:type="dxa"/>
            <w:right w:w="15" w:type="dxa"/>
          </w:tblCellMar>
        </w:tblPrEx>
        <w:trPr>
          <w:gridBefore w:val="1"/>
          <w:wBefore w:w="484" w:type="dxa"/>
          <w:trHeight w:val="339" w:hRule="atLeast"/>
          <w:jc w:val="center"/>
        </w:trPr>
        <w:tc>
          <w:tcPr>
            <w:tcW w:w="8609" w:type="dxa"/>
            <w:gridSpan w:val="9"/>
            <w:vAlign w:val="center"/>
          </w:tcPr>
          <w:p>
            <w:pPr>
              <w:widowControl/>
              <w:jc w:val="center"/>
              <w:textAlignment w:val="center"/>
              <w:rPr>
                <w:rFonts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bidi="ar"/>
              </w:rPr>
              <w:t>市级预算项目支出绩效自评表</w:t>
            </w:r>
          </w:p>
        </w:tc>
      </w:tr>
      <w:tr>
        <w:tblPrEx>
          <w:tblLayout w:type="fixed"/>
          <w:tblCellMar>
            <w:top w:w="0" w:type="dxa"/>
            <w:left w:w="0" w:type="dxa"/>
            <w:bottom w:w="0" w:type="dxa"/>
            <w:right w:w="0" w:type="dxa"/>
          </w:tblCellMar>
        </w:tblPrEx>
        <w:trPr>
          <w:trHeight w:val="375" w:hRule="atLeast"/>
          <w:jc w:val="center"/>
        </w:trPr>
        <w:tc>
          <w:tcPr>
            <w:tcW w:w="936"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项目名称</w:t>
            </w:r>
          </w:p>
        </w:tc>
        <w:tc>
          <w:tcPr>
            <w:tcW w:w="3962"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上年结转资金</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主管部门</w:t>
            </w:r>
          </w:p>
        </w:tc>
        <w:tc>
          <w:tcPr>
            <w:tcW w:w="3543"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济宁市安全生产监督管理局</w:t>
            </w:r>
          </w:p>
        </w:tc>
      </w:tr>
      <w:tr>
        <w:tblPrEx>
          <w:tblLayout w:type="fixed"/>
          <w:tblCellMar>
            <w:top w:w="0" w:type="dxa"/>
            <w:left w:w="0" w:type="dxa"/>
            <w:bottom w:w="0" w:type="dxa"/>
            <w:right w:w="0" w:type="dxa"/>
          </w:tblCellMar>
        </w:tblPrEx>
        <w:trPr>
          <w:trHeight w:val="510" w:hRule="exact"/>
          <w:jc w:val="center"/>
        </w:trPr>
        <w:tc>
          <w:tcPr>
            <w:tcW w:w="9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 xml:space="preserve">项目预算 </w:t>
            </w:r>
            <w:r>
              <w:rPr>
                <w:rFonts w:hint="eastAsia" w:ascii="宋体" w:hAnsi="宋体" w:cs="宋体"/>
                <w:b/>
                <w:color w:val="000000"/>
                <w:kern w:val="0"/>
                <w:sz w:val="20"/>
                <w:szCs w:val="20"/>
                <w:lang w:bidi="ar"/>
              </w:rPr>
              <w:br w:type="textWrapping"/>
            </w:r>
            <w:r>
              <w:rPr>
                <w:rFonts w:hint="eastAsia" w:ascii="宋体" w:hAnsi="宋体" w:cs="宋体"/>
                <w:b/>
                <w:color w:val="000000"/>
                <w:kern w:val="0"/>
                <w:sz w:val="20"/>
                <w:szCs w:val="20"/>
                <w:lang w:bidi="ar"/>
              </w:rPr>
              <w:t xml:space="preserve">执行情况 </w:t>
            </w:r>
            <w:r>
              <w:rPr>
                <w:rFonts w:hint="eastAsia" w:ascii="宋体" w:hAnsi="宋体" w:cs="宋体"/>
                <w:b/>
                <w:color w:val="000000"/>
                <w:kern w:val="0"/>
                <w:sz w:val="20"/>
                <w:szCs w:val="20"/>
                <w:lang w:bidi="ar"/>
              </w:rPr>
              <w:br w:type="textWrapping"/>
            </w:r>
            <w:r>
              <w:rPr>
                <w:rFonts w:hint="eastAsia" w:ascii="宋体" w:hAnsi="宋体" w:cs="宋体"/>
                <w:b/>
                <w:color w:val="000000"/>
                <w:kern w:val="0"/>
                <w:sz w:val="20"/>
                <w:szCs w:val="20"/>
                <w:lang w:bidi="ar"/>
              </w:rPr>
              <w:t xml:space="preserve">（10分） </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项目资金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（万元） </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年初预算数</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全年预算数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（A） </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全年执行数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（B） </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分值</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执行率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（B/A) </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得分</w:t>
            </w:r>
          </w:p>
        </w:tc>
      </w:tr>
      <w:tr>
        <w:tblPrEx>
          <w:tblLayout w:type="fixed"/>
          <w:tblCellMar>
            <w:top w:w="0" w:type="dxa"/>
            <w:left w:w="0" w:type="dxa"/>
            <w:bottom w:w="0" w:type="dxa"/>
            <w:right w:w="0" w:type="dxa"/>
          </w:tblCellMar>
        </w:tblPrEx>
        <w:trPr>
          <w:trHeight w:val="510" w:hRule="exact"/>
          <w:jc w:val="center"/>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b/>
                <w:color w:val="000000"/>
                <w:sz w:val="20"/>
                <w:szCs w:val="20"/>
              </w:rPr>
            </w:pP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年度资金总额</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624.67</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78.08%</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7.8</w:t>
            </w:r>
          </w:p>
        </w:tc>
      </w:tr>
      <w:tr>
        <w:tblPrEx>
          <w:tblLayout w:type="fixed"/>
          <w:tblCellMar>
            <w:top w:w="0" w:type="dxa"/>
            <w:left w:w="0" w:type="dxa"/>
            <w:bottom w:w="0" w:type="dxa"/>
            <w:right w:w="0" w:type="dxa"/>
          </w:tblCellMar>
        </w:tblPrEx>
        <w:trPr>
          <w:trHeight w:val="510" w:hRule="exact"/>
          <w:jc w:val="center"/>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b/>
                <w:color w:val="000000"/>
                <w:sz w:val="20"/>
                <w:szCs w:val="20"/>
              </w:rPr>
            </w:pPr>
          </w:p>
        </w:tc>
        <w:tc>
          <w:tcPr>
            <w:tcW w:w="351"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其中</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当年拨款</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rPr>
                <w:rFonts w:ascii="宋体" w:hAnsi="宋体" w:cs="宋体"/>
                <w:color w:val="000000"/>
                <w:sz w:val="20"/>
                <w:szCs w:val="20"/>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rPr>
                <w:rFonts w:ascii="宋体" w:hAnsi="宋体" w:cs="宋体"/>
                <w:color w:val="000000"/>
                <w:sz w:val="20"/>
                <w:szCs w:val="20"/>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20"/>
                <w:szCs w:val="20"/>
              </w:rPr>
            </w:pPr>
          </w:p>
        </w:tc>
      </w:tr>
      <w:tr>
        <w:tblPrEx>
          <w:tblLayout w:type="fixed"/>
          <w:tblCellMar>
            <w:top w:w="0" w:type="dxa"/>
            <w:left w:w="0" w:type="dxa"/>
            <w:bottom w:w="0" w:type="dxa"/>
            <w:right w:w="0" w:type="dxa"/>
          </w:tblCellMar>
        </w:tblPrEx>
        <w:trPr>
          <w:trHeight w:val="510" w:hRule="exact"/>
          <w:jc w:val="center"/>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b/>
                <w:color w:val="000000"/>
                <w:sz w:val="20"/>
                <w:szCs w:val="20"/>
              </w:rPr>
            </w:pPr>
          </w:p>
        </w:tc>
        <w:tc>
          <w:tcPr>
            <w:tcW w:w="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20"/>
                <w:szCs w:val="20"/>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上年结转</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624.67</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78.08%</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7.8</w:t>
            </w:r>
          </w:p>
        </w:tc>
      </w:tr>
      <w:tr>
        <w:tblPrEx>
          <w:tblLayout w:type="fixed"/>
          <w:tblCellMar>
            <w:top w:w="0" w:type="dxa"/>
            <w:left w:w="0" w:type="dxa"/>
            <w:bottom w:w="0" w:type="dxa"/>
            <w:right w:w="0" w:type="dxa"/>
          </w:tblCellMar>
        </w:tblPrEx>
        <w:trPr>
          <w:trHeight w:val="440" w:hRule="exact"/>
          <w:jc w:val="center"/>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b/>
                <w:color w:val="000000"/>
                <w:sz w:val="20"/>
                <w:szCs w:val="20"/>
              </w:rPr>
            </w:pPr>
          </w:p>
        </w:tc>
        <w:tc>
          <w:tcPr>
            <w:tcW w:w="3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20"/>
                <w:szCs w:val="20"/>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其他资金</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0</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20"/>
                <w:szCs w:val="20"/>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20"/>
                <w:szCs w:val="20"/>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cs="宋体"/>
                <w:color w:val="000000"/>
                <w:sz w:val="20"/>
                <w:szCs w:val="20"/>
              </w:rPr>
            </w:pPr>
          </w:p>
        </w:tc>
      </w:tr>
      <w:tr>
        <w:tblPrEx>
          <w:tblLayout w:type="fixed"/>
          <w:tblCellMar>
            <w:top w:w="0" w:type="dxa"/>
            <w:left w:w="0" w:type="dxa"/>
            <w:bottom w:w="0" w:type="dxa"/>
            <w:right w:w="0" w:type="dxa"/>
          </w:tblCellMar>
        </w:tblPrEx>
        <w:trPr>
          <w:trHeight w:val="480" w:hRule="atLeast"/>
          <w:jc w:val="center"/>
        </w:trPr>
        <w:tc>
          <w:tcPr>
            <w:tcW w:w="9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年度总体目标</w:t>
            </w:r>
          </w:p>
        </w:tc>
        <w:tc>
          <w:tcPr>
            <w:tcW w:w="3962"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预期目标</w:t>
            </w:r>
          </w:p>
        </w:tc>
        <w:tc>
          <w:tcPr>
            <w:tcW w:w="4195"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实际完成情况</w:t>
            </w:r>
          </w:p>
        </w:tc>
      </w:tr>
      <w:tr>
        <w:tblPrEx>
          <w:tblLayout w:type="fixed"/>
          <w:tblCellMar>
            <w:top w:w="0" w:type="dxa"/>
            <w:left w:w="0" w:type="dxa"/>
            <w:bottom w:w="0" w:type="dxa"/>
            <w:right w:w="0" w:type="dxa"/>
          </w:tblCellMar>
        </w:tblPrEx>
        <w:trPr>
          <w:trHeight w:val="375" w:hRule="atLeast"/>
          <w:jc w:val="center"/>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b/>
                <w:color w:val="000000"/>
                <w:sz w:val="20"/>
                <w:szCs w:val="20"/>
              </w:rPr>
            </w:pPr>
          </w:p>
        </w:tc>
        <w:tc>
          <w:tcPr>
            <w:tcW w:w="3962"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紧扣我市安全生产形势发展需要，充分利用移动智能、云计算、物联网、大数据等现代信息技术，依托电子政务云平台，构建覆盖市、县、乡级安监机构、安委会成员单位、中介机构、以及企业的安全生产大数据指挥中心。通过建设好用、管用、实用的安全生产信息化管理平台，提高政府安全监管能力和企业安全管理水平，提高公众安全意识，形成安全发展的社会氛围，促进我市安全生产形势持续稳定好转。</w:t>
            </w:r>
          </w:p>
        </w:tc>
        <w:tc>
          <w:tcPr>
            <w:tcW w:w="4195" w:type="dxa"/>
            <w:gridSpan w:val="4"/>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rPr>
                <w:rFonts w:ascii="宋体" w:hAnsi="宋体" w:cs="宋体"/>
                <w:color w:val="000000"/>
                <w:sz w:val="20"/>
                <w:szCs w:val="20"/>
              </w:rPr>
            </w:pPr>
            <w:r>
              <w:rPr>
                <w:rFonts w:hint="eastAsia" w:ascii="宋体" w:hAnsi="宋体" w:cs="宋体"/>
                <w:color w:val="000000"/>
                <w:kern w:val="0"/>
                <w:sz w:val="20"/>
                <w:szCs w:val="20"/>
                <w:lang w:bidi="ar"/>
              </w:rPr>
              <w:t>各安全生产监管系统、各应急救援指挥系统的研发工作已经基本完成，实现了主要系统功能，并全部部署到政务云平台。</w:t>
            </w:r>
          </w:p>
        </w:tc>
      </w:tr>
      <w:tr>
        <w:tblPrEx>
          <w:tblLayout w:type="fixed"/>
          <w:tblCellMar>
            <w:top w:w="0" w:type="dxa"/>
            <w:left w:w="0" w:type="dxa"/>
            <w:bottom w:w="0" w:type="dxa"/>
            <w:right w:w="0" w:type="dxa"/>
          </w:tblCellMar>
        </w:tblPrEx>
        <w:trPr>
          <w:trHeight w:val="600" w:hRule="atLeast"/>
          <w:jc w:val="center"/>
        </w:trPr>
        <w:tc>
          <w:tcPr>
            <w:tcW w:w="484"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绩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效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指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标 </w:t>
            </w:r>
          </w:p>
        </w:tc>
        <w:tc>
          <w:tcPr>
            <w:tcW w:w="4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一级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指标 </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二级指标</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三级指标</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年度指标值</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实际完成值</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分值</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得分</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偏差原因分析及改进措施</w:t>
            </w:r>
          </w:p>
        </w:tc>
      </w:tr>
      <w:tr>
        <w:tblPrEx>
          <w:tblLayout w:type="fixed"/>
          <w:tblCellMar>
            <w:top w:w="0" w:type="dxa"/>
            <w:left w:w="0" w:type="dxa"/>
            <w:bottom w:w="0" w:type="dxa"/>
            <w:right w:w="0" w:type="dxa"/>
          </w:tblCellMar>
        </w:tblPrEx>
        <w:trPr>
          <w:trHeight w:val="9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产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出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指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标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（50分） </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数量指标</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系统开发数量</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19个</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19个</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53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849" w:type="dxa"/>
            <w:gridSpan w:val="2"/>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质量指标</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支持并发用户数</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≥30%</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≥30%</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10.00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69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849"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普通页面的响应速度平均时间</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≤2秒</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≤2秒</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10.00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25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849"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GIS系统页面的平均响应时间</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≤2秒</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≤3秒</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偏差原因：平台集成的原有GIS系统集成的地图服务存在技术缺陷，特别是通过地图搜索展示大批量应急资源信息时运算复杂，响应时间较长。下一步改进措施：申请、改用应急管理部EGIS地图服务，改进GIS系统运算方法、修补缺陷。</w:t>
            </w:r>
          </w:p>
        </w:tc>
      </w:tr>
      <w:tr>
        <w:tblPrEx>
          <w:tblLayout w:type="fixed"/>
          <w:tblCellMar>
            <w:top w:w="0" w:type="dxa"/>
            <w:left w:w="0" w:type="dxa"/>
            <w:bottom w:w="0" w:type="dxa"/>
            <w:right w:w="0" w:type="dxa"/>
          </w:tblCellMar>
        </w:tblPrEx>
        <w:trPr>
          <w:trHeight w:val="79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849" w:type="dxa"/>
            <w:gridSpan w:val="2"/>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应急救援辅助方案生成时间</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≤2秒</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≤2秒</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56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849" w:type="dxa"/>
            <w:gridSpan w:val="2"/>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平均年故障时间</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&lt;7天</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&lt;7天</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1030" w:hRule="atLeast"/>
          <w:jc w:val="center"/>
        </w:trPr>
        <w:tc>
          <w:tcPr>
            <w:tcW w:w="484"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4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r>
              <w:rPr>
                <w:rFonts w:hint="eastAsia" w:ascii="宋体" w:hAnsi="宋体" w:cs="宋体"/>
                <w:color w:val="000000"/>
                <w:sz w:val="20"/>
                <w:szCs w:val="20"/>
              </w:rPr>
              <w:t>效益指标</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社会效益指标</w:t>
            </w:r>
          </w:p>
        </w:tc>
        <w:tc>
          <w:tcPr>
            <w:tcW w:w="124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安全监管能力提升</w:t>
            </w:r>
          </w:p>
        </w:tc>
        <w:tc>
          <w:tcPr>
            <w:tcW w:w="186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提高安全监管效率，提升事故应急救援能力</w:t>
            </w:r>
          </w:p>
        </w:tc>
        <w:tc>
          <w:tcPr>
            <w:tcW w:w="65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良好</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30.00</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exact"/>
              <w:jc w:val="center"/>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375" w:hRule="atLeast"/>
          <w:jc w:val="center"/>
        </w:trPr>
        <w:tc>
          <w:tcPr>
            <w:tcW w:w="4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c>
          <w:tcPr>
            <w:tcW w:w="5066" w:type="dxa"/>
            <w:gridSpan w:val="6"/>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总分</w:t>
            </w:r>
          </w:p>
        </w:tc>
        <w:tc>
          <w:tcPr>
            <w:tcW w:w="62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r>
              <w:rPr>
                <w:rFonts w:hint="eastAsia" w:ascii="宋体" w:hAnsi="宋体" w:cs="宋体"/>
                <w:color w:val="000000"/>
                <w:sz w:val="20"/>
                <w:szCs w:val="20"/>
              </w:rPr>
              <w:t>90.8</w:t>
            </w:r>
          </w:p>
        </w:tc>
        <w:tc>
          <w:tcPr>
            <w:tcW w:w="220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tLeast"/>
              <w:jc w:val="center"/>
              <w:rPr>
                <w:rFonts w:ascii="宋体" w:hAnsi="宋体" w:cs="宋体"/>
                <w:color w:val="000000"/>
                <w:sz w:val="20"/>
                <w:szCs w:val="20"/>
              </w:rPr>
            </w:pPr>
          </w:p>
        </w:tc>
      </w:tr>
    </w:tbl>
    <w:p>
      <w:pPr>
        <w:overflowPunct w:val="0"/>
        <w:adjustRightInd w:val="0"/>
        <w:snapToGrid w:val="0"/>
        <w:spacing w:line="580" w:lineRule="exact"/>
        <w:jc w:val="center"/>
        <w:outlineLvl w:val="0"/>
        <w:rPr>
          <w:rFonts w:ascii="黑体" w:hAnsi="黑体" w:eastAsia="黑体" w:cs="黑体"/>
          <w:szCs w:val="32"/>
        </w:rPr>
      </w:pPr>
      <w:r>
        <w:rPr>
          <w:rFonts w:hint="eastAsia" w:ascii="黑体" w:hAnsi="黑体" w:eastAsia="黑体" w:cs="黑体"/>
          <w:szCs w:val="32"/>
        </w:rPr>
        <w:br w:type="page"/>
      </w:r>
    </w:p>
    <w:p>
      <w:pPr>
        <w:overflowPunct w:val="0"/>
        <w:adjustRightInd w:val="0"/>
        <w:snapToGrid w:val="0"/>
        <w:spacing w:line="580" w:lineRule="exact"/>
        <w:jc w:val="center"/>
        <w:outlineLvl w:val="0"/>
        <w:rPr>
          <w:rFonts w:ascii="方正小标宋简体" w:eastAsia="方正小标宋简体"/>
          <w:sz w:val="44"/>
          <w:szCs w:val="44"/>
        </w:rPr>
      </w:pPr>
      <w:r>
        <w:rPr>
          <w:rFonts w:hint="eastAsia" w:ascii="方正小标宋简体" w:hAnsi="方正小标宋简体" w:eastAsia="方正小标宋简体" w:cs="方正小标宋简体"/>
          <w:kern w:val="0"/>
          <w:sz w:val="44"/>
          <w:szCs w:val="44"/>
        </w:rPr>
        <w:t>2019</w:t>
      </w:r>
      <w:r>
        <w:rPr>
          <w:rFonts w:hint="eastAsia" w:ascii="方正小标宋简体" w:hAnsi="方正小标宋简体" w:eastAsia="方正小标宋简体" w:cs="方正小标宋简体"/>
          <w:sz w:val="44"/>
          <w:szCs w:val="44"/>
        </w:rPr>
        <w:t>年度</w:t>
      </w:r>
      <w:r>
        <w:rPr>
          <w:rFonts w:hint="eastAsia" w:ascii="方正小标宋简体" w:eastAsia="方正小标宋简体"/>
          <w:sz w:val="44"/>
          <w:szCs w:val="44"/>
        </w:rPr>
        <w:t>济宁市应急管理局绩效评价报告</w:t>
      </w:r>
    </w:p>
    <w:p>
      <w:pPr>
        <w:overflowPunct w:val="0"/>
        <w:adjustRightInd w:val="0"/>
        <w:snapToGrid w:val="0"/>
        <w:spacing w:line="580" w:lineRule="exact"/>
        <w:jc w:val="center"/>
        <w:outlineLvl w:val="0"/>
        <w:rPr>
          <w:rFonts w:ascii="方正小标宋简体" w:eastAsia="方正小标宋简体"/>
          <w:sz w:val="44"/>
          <w:szCs w:val="44"/>
        </w:rPr>
      </w:pPr>
    </w:p>
    <w:p>
      <w:pPr>
        <w:ind w:firstLine="632" w:firstLineChars="200"/>
        <w:rPr>
          <w:rFonts w:ascii="黑体" w:hAnsi="黑体" w:eastAsia="黑体"/>
          <w:szCs w:val="32"/>
        </w:rPr>
      </w:pPr>
      <w:r>
        <w:rPr>
          <w:rFonts w:hint="eastAsia" w:ascii="黑体" w:hAnsi="黑体" w:eastAsia="黑体"/>
          <w:szCs w:val="32"/>
        </w:rPr>
        <w:t>一、绩效目标完成情况分析</w:t>
      </w:r>
    </w:p>
    <w:p>
      <w:pPr>
        <w:ind w:firstLine="632" w:firstLineChars="200"/>
        <w:rPr>
          <w:rFonts w:ascii="楷体_GB2312" w:eastAsia="楷体_GB2312"/>
          <w:szCs w:val="32"/>
        </w:rPr>
      </w:pPr>
      <w:r>
        <w:rPr>
          <w:rFonts w:hint="eastAsia" w:ascii="楷体_GB2312" w:eastAsia="楷体_GB2312"/>
          <w:szCs w:val="32"/>
        </w:rPr>
        <w:t>(一)资金投入情况分析</w:t>
      </w:r>
    </w:p>
    <w:p>
      <w:pPr>
        <w:ind w:firstLine="632" w:firstLineChars="200"/>
        <w:rPr>
          <w:rFonts w:ascii="楷体_GB2312" w:eastAsia="楷体_GB2312"/>
          <w:szCs w:val="32"/>
        </w:rPr>
      </w:pPr>
      <w:r>
        <w:rPr>
          <w:rFonts w:hint="eastAsia" w:ascii="楷体_GB2312" w:eastAsia="楷体_GB2312"/>
          <w:szCs w:val="32"/>
        </w:rPr>
        <w:t>1.项目资金到位情况分析</w:t>
      </w:r>
    </w:p>
    <w:p>
      <w:pPr>
        <w:ind w:firstLine="632" w:firstLineChars="200"/>
        <w:rPr>
          <w:rFonts w:ascii="仿宋_GB2312" w:eastAsia="仿宋_GB2312"/>
          <w:szCs w:val="32"/>
        </w:rPr>
      </w:pPr>
      <w:r>
        <w:rPr>
          <w:rFonts w:hint="eastAsia" w:ascii="仿宋_GB2312" w:eastAsia="仿宋_GB2312"/>
          <w:szCs w:val="32"/>
        </w:rPr>
        <w:t>2019年,市应急局收到市财政局拨付的项目资金800万元,项目资金已全部到位。</w:t>
      </w:r>
    </w:p>
    <w:p>
      <w:pPr>
        <w:ind w:firstLine="632" w:firstLineChars="200"/>
        <w:rPr>
          <w:rFonts w:ascii="楷体_GB2312" w:eastAsia="楷体_GB2312"/>
          <w:szCs w:val="32"/>
        </w:rPr>
      </w:pPr>
      <w:r>
        <w:rPr>
          <w:rFonts w:hint="eastAsia" w:ascii="楷体_GB2312" w:eastAsia="楷体_GB2312"/>
          <w:szCs w:val="32"/>
        </w:rPr>
        <w:t>2.项目资金执行情况分析</w:t>
      </w:r>
    </w:p>
    <w:p>
      <w:pPr>
        <w:ind w:firstLine="632" w:firstLineChars="200"/>
        <w:rPr>
          <w:rFonts w:ascii="仿宋_GB2312" w:eastAsia="仿宋_GB2312"/>
          <w:szCs w:val="32"/>
        </w:rPr>
      </w:pPr>
      <w:r>
        <w:rPr>
          <w:rFonts w:hint="eastAsia" w:ascii="仿宋_GB2312" w:eastAsia="仿宋_GB2312"/>
          <w:szCs w:val="32"/>
        </w:rPr>
        <w:t>2019年,该项目执行数为624.67万元,完成项目总金额的78.08%。原因为按合同约定执行三期付款,2019年支付第一期费用。</w:t>
      </w:r>
    </w:p>
    <w:p>
      <w:pPr>
        <w:ind w:firstLine="632" w:firstLineChars="200"/>
        <w:rPr>
          <w:rFonts w:ascii="楷体_GB2312" w:eastAsia="楷体_GB2312"/>
          <w:szCs w:val="32"/>
        </w:rPr>
      </w:pPr>
      <w:r>
        <w:rPr>
          <w:rFonts w:hint="eastAsia" w:ascii="楷体_GB2312" w:eastAsia="楷体_GB2312"/>
          <w:szCs w:val="32"/>
        </w:rPr>
        <w:t>3.项目资金管理情况分析</w:t>
      </w:r>
    </w:p>
    <w:p>
      <w:pPr>
        <w:ind w:firstLine="632" w:firstLineChars="200"/>
        <w:rPr>
          <w:rFonts w:ascii="仿宋_GB2312" w:eastAsia="仿宋_GB2312"/>
          <w:szCs w:val="32"/>
        </w:rPr>
      </w:pPr>
      <w:r>
        <w:rPr>
          <w:rFonts w:hint="eastAsia" w:ascii="仿宋_GB2312" w:eastAsia="仿宋_GB2312"/>
          <w:szCs w:val="32"/>
        </w:rPr>
        <w:t>该项目资金按项目安排实际使用,专款专用,无挤占挪用情况。</w:t>
      </w:r>
    </w:p>
    <w:p>
      <w:pPr>
        <w:ind w:firstLine="316" w:firstLineChars="100"/>
        <w:rPr>
          <w:rFonts w:ascii="楷体_GB2312" w:eastAsia="楷体_GB2312"/>
          <w:szCs w:val="32"/>
        </w:rPr>
      </w:pPr>
      <w:r>
        <w:rPr>
          <w:rFonts w:hint="eastAsia" w:ascii="楷体_GB2312" w:eastAsia="楷体_GB2312"/>
          <w:szCs w:val="32"/>
        </w:rPr>
        <w:t>（二）绩效目标完成情况分析</w:t>
      </w:r>
    </w:p>
    <w:p>
      <w:pPr>
        <w:ind w:firstLine="632" w:firstLineChars="200"/>
        <w:rPr>
          <w:rFonts w:ascii="仿宋_GB2312" w:eastAsia="仿宋_GB2312"/>
          <w:szCs w:val="32"/>
        </w:rPr>
      </w:pPr>
      <w:r>
        <w:rPr>
          <w:rFonts w:hint="eastAsia" w:ascii="仿宋_GB2312" w:eastAsia="仿宋_GB2312"/>
          <w:szCs w:val="32"/>
        </w:rPr>
        <w:t>已搭建起各安全生产监管系统的基础框架,实现了企业监管、中介机构监管、培训机构监管、专家库管理等应用的基础功能,并导入部分数据;各应急救援指挥系统的研发工作已经基本完成,实现了应急值守、应急资源信息管理、辅助决策、指挥调度和总结评估的主要系统功能,并全部部署到政务云平台。</w:t>
      </w:r>
    </w:p>
    <w:p>
      <w:pPr>
        <w:ind w:firstLine="632" w:firstLineChars="200"/>
        <w:rPr>
          <w:rFonts w:ascii="楷体_GB2312" w:eastAsia="楷体_GB2312"/>
          <w:szCs w:val="32"/>
        </w:rPr>
      </w:pPr>
      <w:r>
        <w:rPr>
          <w:rFonts w:hint="eastAsia" w:ascii="楷体_GB2312" w:eastAsia="楷体_GB2312"/>
          <w:szCs w:val="32"/>
        </w:rPr>
        <w:t>(三）产出指标完成情况分析（根据年初绩效目标及指标逐项分析）</w:t>
      </w:r>
    </w:p>
    <w:p>
      <w:pPr>
        <w:ind w:firstLine="632" w:firstLineChars="200"/>
        <w:rPr>
          <w:rFonts w:ascii="楷体_GB2312" w:eastAsia="楷体_GB2312"/>
          <w:szCs w:val="32"/>
        </w:rPr>
      </w:pPr>
      <w:r>
        <w:rPr>
          <w:rFonts w:hint="eastAsia" w:ascii="楷体_GB2312" w:eastAsia="楷体_GB2312"/>
          <w:szCs w:val="32"/>
        </w:rPr>
        <w:t>1.产出指标完成情况分析</w:t>
      </w:r>
    </w:p>
    <w:p>
      <w:pPr>
        <w:ind w:firstLine="632" w:firstLineChars="200"/>
        <w:rPr>
          <w:rFonts w:ascii="仿宋_GB2312" w:eastAsia="仿宋_GB2312"/>
          <w:szCs w:val="32"/>
        </w:rPr>
      </w:pPr>
      <w:r>
        <w:rPr>
          <w:rFonts w:hint="eastAsia" w:ascii="仿宋_GB2312" w:eastAsia="仿宋_GB2312"/>
          <w:szCs w:val="32"/>
        </w:rPr>
        <w:t>(1)数量指标</w:t>
      </w:r>
    </w:p>
    <w:p>
      <w:pPr>
        <w:ind w:firstLine="632" w:firstLineChars="200"/>
        <w:rPr>
          <w:rFonts w:ascii="仿宋_GB2312" w:eastAsia="仿宋_GB2312"/>
          <w:szCs w:val="32"/>
        </w:rPr>
      </w:pPr>
      <w:r>
        <w:rPr>
          <w:rFonts w:hint="eastAsia" w:ascii="仿宋_GB2312" w:eastAsia="仿宋_GB2312"/>
          <w:szCs w:val="32"/>
        </w:rPr>
        <w:t>经过19个业务子系统的并行开发,已搭建起各系统基础框架,并实现了主要功能。</w:t>
      </w:r>
    </w:p>
    <w:p>
      <w:pPr>
        <w:ind w:firstLine="632" w:firstLineChars="200"/>
        <w:rPr>
          <w:rFonts w:ascii="仿宋_GB2312" w:eastAsia="仿宋_GB2312"/>
          <w:szCs w:val="32"/>
        </w:rPr>
      </w:pPr>
      <w:r>
        <w:rPr>
          <w:rFonts w:hint="eastAsia" w:ascii="仿宋_GB2312" w:eastAsia="仿宋_GB2312"/>
          <w:szCs w:val="32"/>
        </w:rPr>
        <w:t>(2)质量指标</w:t>
      </w:r>
    </w:p>
    <w:p>
      <w:pPr>
        <w:ind w:firstLine="632" w:firstLineChars="200"/>
        <w:rPr>
          <w:rFonts w:ascii="仿宋_GB2312" w:eastAsia="仿宋_GB2312"/>
          <w:szCs w:val="32"/>
        </w:rPr>
      </w:pPr>
      <w:r>
        <w:rPr>
          <w:rFonts w:hint="eastAsia" w:ascii="仿宋_GB2312" w:eastAsia="仿宋_GB2312"/>
          <w:szCs w:val="32"/>
        </w:rPr>
        <w:t>经测试,平台目前支持并发用户数量≥30%,普通页面响应速度平均时间≤2秒,GS系统页面的平均响应时间≤3秒,应急救援辅助方案生成时间≤2秒,平均年故障时间&lt;7天,普通故障平均故障修复时间&lt;60分钟。基本实现年度质量指标要求。</w:t>
      </w:r>
    </w:p>
    <w:p>
      <w:pPr>
        <w:ind w:firstLine="632" w:firstLineChars="200"/>
        <w:rPr>
          <w:rFonts w:ascii="楷体_GB2312" w:eastAsia="楷体_GB2312"/>
          <w:szCs w:val="32"/>
        </w:rPr>
      </w:pPr>
      <w:r>
        <w:rPr>
          <w:rFonts w:hint="eastAsia" w:ascii="楷体_GB2312" w:eastAsia="楷体_GB2312"/>
          <w:szCs w:val="32"/>
        </w:rPr>
        <w:t>2.效益指标完成情况分析</w:t>
      </w:r>
    </w:p>
    <w:p>
      <w:pPr>
        <w:ind w:firstLine="632" w:firstLineChars="200"/>
        <w:rPr>
          <w:rFonts w:ascii="仿宋_GB2312" w:eastAsia="仿宋_GB2312"/>
          <w:szCs w:val="32"/>
        </w:rPr>
      </w:pPr>
      <w:r>
        <w:rPr>
          <w:rFonts w:hint="eastAsia" w:ascii="仿宋_GB2312" w:eastAsia="仿宋_GB2312"/>
          <w:szCs w:val="32"/>
        </w:rPr>
        <w:t>平台改变应急管理工作的模式和方法,一是可实现为全生产企业的在线监管,保留可追溯的历史资料,让档案的收集和管理系统化,可提高安全监管效率;二是可进行快捷的事故发生地点定位和周边应急资源信息的查找,便于对相关人员进行短信告知语音呼叫,有效提升事故应急救援能力,指标完成度良好。</w:t>
      </w:r>
    </w:p>
    <w:p>
      <w:pPr>
        <w:ind w:firstLine="632" w:firstLineChars="200"/>
        <w:rPr>
          <w:rFonts w:ascii="黑体" w:hAnsi="黑体" w:eastAsia="黑体"/>
          <w:szCs w:val="32"/>
        </w:rPr>
      </w:pPr>
      <w:r>
        <w:rPr>
          <w:rFonts w:hint="eastAsia" w:ascii="黑体" w:hAnsi="黑体" w:eastAsia="黑体"/>
          <w:szCs w:val="32"/>
        </w:rPr>
        <w:t>二、偏离绩效目标的原因和下步改进措施</w:t>
      </w:r>
    </w:p>
    <w:p>
      <w:pPr>
        <w:ind w:firstLine="632" w:firstLineChars="200"/>
        <w:rPr>
          <w:rFonts w:ascii="楷体_GB2312" w:eastAsia="楷体_GB2312"/>
          <w:szCs w:val="32"/>
        </w:rPr>
      </w:pPr>
      <w:r>
        <w:rPr>
          <w:rFonts w:hint="eastAsia" w:ascii="楷体_GB2312" w:eastAsia="楷体_GB2312"/>
          <w:szCs w:val="32"/>
        </w:rPr>
        <w:t>1.偏离绩效目标的原因</w:t>
      </w:r>
    </w:p>
    <w:p>
      <w:pPr>
        <w:ind w:firstLine="632" w:firstLineChars="200"/>
        <w:rPr>
          <w:rFonts w:ascii="仿宋_GB2312" w:eastAsia="仿宋_GB2312"/>
          <w:szCs w:val="32"/>
        </w:rPr>
      </w:pPr>
      <w:r>
        <w:rPr>
          <w:rFonts w:hint="eastAsia" w:ascii="仿宋_GB2312" w:eastAsia="仿宋_GB2312"/>
          <w:szCs w:val="32"/>
        </w:rPr>
        <w:t>平台集成的原有GIS系统集成的地图服务存在技术缺陷,特别是通过地图搜索展示大批量应急资源信息时运算复杂,GIS系统页面的平均响应时间较长。</w:t>
      </w:r>
    </w:p>
    <w:p>
      <w:pPr>
        <w:ind w:firstLine="632" w:firstLineChars="200"/>
        <w:rPr>
          <w:rFonts w:ascii="楷体_GB2312" w:eastAsia="楷体_GB2312"/>
          <w:szCs w:val="32"/>
        </w:rPr>
      </w:pPr>
      <w:r>
        <w:rPr>
          <w:rFonts w:hint="eastAsia" w:ascii="楷体_GB2312" w:eastAsia="楷体_GB2312"/>
          <w:szCs w:val="32"/>
        </w:rPr>
        <w:t>2.下步改进措施</w:t>
      </w:r>
    </w:p>
    <w:p>
      <w:pPr>
        <w:ind w:firstLine="632" w:firstLineChars="200"/>
        <w:rPr>
          <w:rFonts w:ascii="仿宋_GB2312" w:eastAsia="仿宋_GB2312"/>
          <w:szCs w:val="32"/>
        </w:rPr>
      </w:pPr>
      <w:r>
        <w:rPr>
          <w:rFonts w:hint="eastAsia" w:ascii="仿宋_GB2312" w:eastAsia="仿宋_GB2312"/>
          <w:szCs w:val="32"/>
        </w:rPr>
        <w:t>申请、改用应急管理部EGiS地图服务,改进GIS系统运算方法、修补缺陷。</w:t>
      </w:r>
    </w:p>
    <w:p>
      <w:pPr>
        <w:ind w:firstLine="632" w:firstLineChars="200"/>
        <w:rPr>
          <w:rFonts w:ascii="黑体" w:hAnsi="黑体" w:eastAsia="黑体"/>
          <w:szCs w:val="32"/>
        </w:rPr>
      </w:pPr>
      <w:r>
        <w:rPr>
          <w:rFonts w:hint="eastAsia" w:ascii="黑体" w:hAnsi="黑体" w:eastAsia="黑体"/>
          <w:szCs w:val="32"/>
        </w:rPr>
        <w:t>三、绩效自评结果拟应用和公开情况</w:t>
      </w:r>
    </w:p>
    <w:p>
      <w:pPr>
        <w:overflowPunct w:val="0"/>
        <w:adjustRightInd w:val="0"/>
        <w:snapToGrid w:val="0"/>
        <w:spacing w:line="580" w:lineRule="exact"/>
        <w:ind w:firstLine="632" w:firstLineChars="200"/>
        <w:outlineLvl w:val="0"/>
        <w:rPr>
          <w:rFonts w:ascii="方正小标宋简体" w:eastAsia="方正小标宋简体"/>
          <w:sz w:val="44"/>
          <w:szCs w:val="44"/>
        </w:rPr>
      </w:pPr>
      <w:r>
        <w:rPr>
          <w:rFonts w:hint="eastAsia" w:ascii="仿宋_GB2312" w:eastAsia="仿宋_GB2312"/>
          <w:szCs w:val="32"/>
        </w:rPr>
        <w:t>本项目自评结果按市财政局要求进行公开。</w:t>
      </w:r>
    </w:p>
    <w:sectPr>
      <w:pgSz w:w="11906" w:h="16838"/>
      <w:pgMar w:top="1701" w:right="1531" w:bottom="1701" w:left="1531" w:header="0" w:footer="1418" w:gutter="0"/>
      <w:cols w:space="720" w:num="1"/>
      <w:docGrid w:type="linesAndChars" w:linePitch="61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30</w:t>
    </w:r>
    <w:r>
      <w:rPr>
        <w:rFonts w:ascii="宋体" w:hAnsi="宋体"/>
        <w:sz w:val="28"/>
        <w:szCs w:val="28"/>
      </w:rPr>
      <w:fldChar w:fldCharType="end"/>
    </w:r>
    <w:r>
      <w:rPr>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- 1 -</w:t>
    </w:r>
    <w: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ADD9A6"/>
    <w:multiLevelType w:val="singleLevel"/>
    <w:tmpl w:val="B8ADD9A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A12D6"/>
    <w:rsid w:val="00402E2D"/>
    <w:rsid w:val="00581075"/>
    <w:rsid w:val="0092730D"/>
    <w:rsid w:val="00B95006"/>
    <w:rsid w:val="00CD29B1"/>
    <w:rsid w:val="00D10B5F"/>
    <w:rsid w:val="00EB7C1F"/>
    <w:rsid w:val="00F73E9D"/>
    <w:rsid w:val="00F83DE7"/>
    <w:rsid w:val="02973D30"/>
    <w:rsid w:val="0EC43BA9"/>
    <w:rsid w:val="189E5F28"/>
    <w:rsid w:val="26850260"/>
    <w:rsid w:val="288001D7"/>
    <w:rsid w:val="327543F9"/>
    <w:rsid w:val="4BFC6F7A"/>
    <w:rsid w:val="547531D0"/>
    <w:rsid w:val="54F461D4"/>
    <w:rsid w:val="5BDC67BE"/>
    <w:rsid w:val="5F3A12D6"/>
    <w:rsid w:val="63586943"/>
    <w:rsid w:val="63B13CE0"/>
    <w:rsid w:val="6D2E6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Sheet1!$B$2:$B$3</c:f>
              <c:numCache>
                <c:formatCode>General</c:formatCode>
                <c:ptCount val="2"/>
                <c:pt idx="0">
                  <c:v>2939.98</c:v>
                </c:pt>
                <c:pt idx="1">
                  <c:v>4381.94</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2018</c:v>
                </c:pt>
                <c:pt idx="1">
                  <c:v>2019</c:v>
                </c:pt>
              </c:numCache>
            </c:numRef>
          </c:cat>
          <c:val>
            <c:numRef>
              <c:f>Sheet1!$C$2:$C$3</c:f>
              <c:numCache>
                <c:formatCode>General</c:formatCode>
                <c:ptCount val="2"/>
                <c:pt idx="0">
                  <c:v>2939.98</c:v>
                </c:pt>
                <c:pt idx="1">
                  <c:v>4381.94</c:v>
                </c:pt>
              </c:numCache>
            </c:numRef>
          </c:val>
        </c:ser>
        <c:dLbls>
          <c:showLegendKey val="0"/>
          <c:showVal val="0"/>
          <c:showCatName val="0"/>
          <c:showSerName val="0"/>
          <c:showPercent val="0"/>
          <c:showBubbleSize val="0"/>
        </c:dLbls>
        <c:gapWidth val="219"/>
        <c:overlap val="-27"/>
        <c:axId val="92194498"/>
        <c:axId val="582121841"/>
      </c:barChart>
      <c:catAx>
        <c:axId val="9219449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2121841"/>
        <c:crosses val="autoZero"/>
        <c:auto val="1"/>
        <c:lblAlgn val="ctr"/>
        <c:lblOffset val="100"/>
        <c:noMultiLvlLbl val="0"/>
      </c:catAx>
      <c:valAx>
        <c:axId val="5821218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19449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650"/>
              <a:t>财政拨款收、支总计（万元）</a:t>
            </a:r>
            <a:endParaRPr sz="650"/>
          </a:p>
        </c:rich>
      </c:tx>
      <c:layout>
        <c:manualLayout>
          <c:xMode val="edge"/>
          <c:yMode val="edge"/>
          <c:x val="0.013242438489265"/>
          <c:y val="0.884955752212389"/>
        </c:manualLayout>
      </c:layout>
      <c:overlay val="0"/>
      <c:spPr>
        <a:noFill/>
        <a:ln>
          <a:noFill/>
        </a:ln>
        <a:effectLst/>
      </c:spPr>
    </c:title>
    <c:autoTitleDeleted val="0"/>
    <c:plotArea>
      <c:layout>
        <c:manualLayout>
          <c:layoutTarget val="inner"/>
          <c:xMode val="edge"/>
          <c:yMode val="edge"/>
          <c:x val="0.08045"/>
          <c:y val="0.035"/>
          <c:w val="0.8908"/>
          <c:h val="0.803566666666667"/>
        </c:manualLayout>
      </c:layout>
      <c:lineChart>
        <c:grouping val="standard"/>
        <c:varyColors val="0"/>
        <c:ser>
          <c:idx val="0"/>
          <c:order val="0"/>
          <c:tx>
            <c:strRef>
              <c:f>Sheet1!$B$1</c:f>
              <c:strCache>
                <c:ptCount val="1"/>
                <c:pt idx="0">
                  <c:v>系列 1</c:v>
                </c:pt>
              </c:strCache>
            </c:strRef>
          </c:tx>
          <c:spPr>
            <a:ln w="28575" cap="rnd">
              <a:solidFill>
                <a:schemeClr val="tx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2939.98</c:v>
                </c:pt>
                <c:pt idx="1">
                  <c:v>4361.91</c:v>
                </c:pt>
              </c:numCache>
            </c:numRef>
          </c:val>
          <c:smooth val="0"/>
        </c:ser>
        <c:ser>
          <c:idx val="1"/>
          <c:order val="1"/>
          <c:tx>
            <c:strRef>
              <c:f>Sheet1!#REF!</c:f>
              <c:strCache>
                <c:ptCount val="1"/>
                <c:pt idx="0">
                  <c:v/>
                </c:pt>
              </c:strCache>
            </c:strRef>
          </c:tx>
          <c:spPr>
            <a:ln w="28575" cap="rnd">
              <a:solidFill>
                <a:schemeClr val="accent2"/>
              </a:solidFill>
              <a:round/>
            </a:ln>
            <a:effectLst/>
          </c:spPr>
          <c:marker>
            <c:symbol val="none"/>
          </c:marker>
          <c:dLbls>
            <c:delete val="1"/>
          </c:dLbls>
          <c:cat>
            <c:strRef>
              <c:f>Sheet1!$A$2:$A$3</c:f>
              <c:strCache>
                <c:ptCount val="2"/>
                <c:pt idx="0">
                  <c:v>2018年</c:v>
                </c:pt>
                <c:pt idx="1">
                  <c:v>2019年</c:v>
                </c:pt>
              </c:strCache>
            </c:strRef>
          </c:cat>
          <c:val>
            <c:numRef>
              <c:f>Sheet1!#REF!</c:f>
              <c:numCache>
                <c:formatCode>General</c:formatCode>
                <c:ptCount val="1"/>
                <c:pt idx="0">
                  <c:v>1</c:v>
                </c:pt>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strRef>
              <c:f>Sheet1!$A$2:$A$3</c:f>
              <c:strCache>
                <c:ptCount val="2"/>
                <c:pt idx="0">
                  <c:v>2018年</c:v>
                </c:pt>
                <c:pt idx="1">
                  <c:v>2019年</c:v>
                </c:pt>
              </c:strCache>
            </c:strRef>
          </c:cat>
          <c:val>
            <c:numRef>
              <c:f>Sheet1!#REF!</c:f>
              <c:numCache>
                <c:formatCode>General</c:formatCode>
                <c:ptCount val="1"/>
                <c:pt idx="0">
                  <c:v>1</c:v>
                </c:pt>
              </c:numCache>
            </c:numRef>
          </c:val>
          <c:smooth val="0"/>
        </c:ser>
        <c:dLbls>
          <c:showLegendKey val="0"/>
          <c:showVal val="0"/>
          <c:showCatName val="0"/>
          <c:showSerName val="0"/>
          <c:showPercent val="0"/>
          <c:showBubbleSize val="0"/>
        </c:dLbls>
        <c:marker val="0"/>
        <c:smooth val="0"/>
        <c:axId val="905284980"/>
        <c:axId val="782374139"/>
      </c:lineChart>
      <c:catAx>
        <c:axId val="905284980"/>
        <c:scaling>
          <c:orientation val="minMax"/>
        </c:scaling>
        <c:delete val="0"/>
        <c:axPos val="b"/>
        <c:majorTickMark val="in"/>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2374139"/>
        <c:crosses val="autoZero"/>
        <c:auto val="1"/>
        <c:lblAlgn val="ctr"/>
        <c:lblOffset val="100"/>
        <c:noMultiLvlLbl val="0"/>
      </c:catAx>
      <c:valAx>
        <c:axId val="7823741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52849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defTabSz="914400">
              <a:defRPr lang="zh-CN" sz="1400" b="0" i="0" u="none" strike="noStrike" kern="1200" spc="0" baseline="0">
                <a:solidFill>
                  <a:schemeClr val="tx1">
                    <a:lumMod val="65000"/>
                    <a:lumOff val="35000"/>
                  </a:schemeClr>
                </a:solidFill>
                <a:latin typeface="+mn-lt"/>
                <a:ea typeface="+mn-ea"/>
                <a:cs typeface="+mn-cs"/>
              </a:defRPr>
            </a:pPr>
            <a:r>
              <a:rPr sz="1050"/>
              <a:t>财政拨款支出（万元）</a:t>
            </a:r>
            <a:endParaRPr lang="en-US" altLang="zh-CN" sz="1050"/>
          </a:p>
        </c:rich>
      </c:tx>
      <c:layout>
        <c:manualLayout>
          <c:xMode val="edge"/>
          <c:yMode val="edge"/>
          <c:x val="0.0139784946236559"/>
          <c:y val="0.0486736432221952"/>
        </c:manualLayout>
      </c:layout>
      <c:overlay val="0"/>
      <c:spPr>
        <a:noFill/>
        <a:ln>
          <a:noFill/>
        </a:ln>
        <a:effectLst/>
      </c:spPr>
    </c:title>
    <c:autoTitleDeleted val="0"/>
    <c:plotArea>
      <c:layout>
        <c:manualLayout>
          <c:layoutTarget val="inner"/>
          <c:xMode val="edge"/>
          <c:yMode val="edge"/>
          <c:x val="0.07545"/>
          <c:y val="0.140333333333333"/>
          <c:w val="0.8908"/>
          <c:h val="0.731733333333333"/>
        </c:manualLayout>
      </c:layout>
      <c:lineChart>
        <c:grouping val="standard"/>
        <c:varyColors val="0"/>
        <c:ser>
          <c:idx val="0"/>
          <c:order val="0"/>
          <c:tx>
            <c:strRef>
              <c:f>Sheet1!$B$1</c:f>
              <c:strCache>
                <c:ptCount val="1"/>
                <c:pt idx="0">
                  <c:v/>
                </c:pt>
              </c:strCache>
            </c:strRef>
          </c:tx>
          <c:spPr>
            <a:ln w="28575" cap="rnd">
              <a:solidFill>
                <a:schemeClr val="tx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2033.26</c:v>
                </c:pt>
                <c:pt idx="1">
                  <c:v>3387.74</c:v>
                </c:pt>
              </c:numCache>
            </c:numRef>
          </c:val>
          <c:smooth val="0"/>
        </c:ser>
        <c:ser>
          <c:idx val="1"/>
          <c:order val="1"/>
          <c:tx>
            <c:strRef>
              <c:f>Sheet1!#REF!</c:f>
              <c:strCache>
                <c:ptCount val="1"/>
                <c:pt idx="0">
                  <c:v/>
                </c:pt>
              </c:strCache>
            </c:strRef>
          </c:tx>
          <c:spPr>
            <a:ln w="28575" cap="rnd">
              <a:solidFill>
                <a:schemeClr val="accent2"/>
              </a:solidFill>
              <a:round/>
            </a:ln>
            <a:effectLst/>
          </c:spPr>
          <c:marker>
            <c:symbol val="none"/>
          </c:marker>
          <c:dLbls>
            <c:delete val="1"/>
          </c:dLbls>
          <c:cat>
            <c:strRef>
              <c:f>Sheet1!$A$2:$A$3</c:f>
              <c:strCache>
                <c:ptCount val="2"/>
                <c:pt idx="0">
                  <c:v>2018年</c:v>
                </c:pt>
                <c:pt idx="1">
                  <c:v>2019年</c:v>
                </c:pt>
              </c:strCache>
            </c:strRef>
          </c:cat>
          <c:val>
            <c:numRef>
              <c:f>Sheet1!#REF!</c:f>
              <c:numCache>
                <c:formatCode>General</c:formatCode>
                <c:ptCount val="1"/>
                <c:pt idx="0">
                  <c:v>1</c:v>
                </c:pt>
              </c:numCache>
            </c:numRef>
          </c:val>
          <c:smooth val="0"/>
        </c:ser>
        <c:ser>
          <c:idx val="2"/>
          <c:order val="2"/>
          <c:tx>
            <c:strRef>
              <c:f>Sheet1!#REF!</c:f>
              <c:strCache>
                <c:ptCount val="1"/>
                <c:pt idx="0">
                  <c:v/>
                </c:pt>
              </c:strCache>
            </c:strRef>
          </c:tx>
          <c:spPr>
            <a:ln w="28575" cap="rnd">
              <a:solidFill>
                <a:schemeClr val="accent3"/>
              </a:solidFill>
              <a:round/>
            </a:ln>
            <a:effectLst/>
          </c:spPr>
          <c:marker>
            <c:symbol val="none"/>
          </c:marker>
          <c:dLbls>
            <c:delete val="1"/>
          </c:dLbls>
          <c:cat>
            <c:strRef>
              <c:f>Sheet1!$A$2:$A$3</c:f>
              <c:strCache>
                <c:ptCount val="2"/>
                <c:pt idx="0">
                  <c:v>2018年</c:v>
                </c:pt>
                <c:pt idx="1">
                  <c:v>2019年</c:v>
                </c:pt>
              </c:strCache>
            </c:strRef>
          </c:cat>
          <c:val>
            <c:numRef>
              <c:f>Sheet1!#REF!</c:f>
              <c:numCache>
                <c:formatCode>General</c:formatCode>
                <c:ptCount val="1"/>
                <c:pt idx="0">
                  <c:v>1</c:v>
                </c:pt>
              </c:numCache>
            </c:numRef>
          </c:val>
          <c:smooth val="0"/>
        </c:ser>
        <c:dLbls>
          <c:showLegendKey val="0"/>
          <c:showVal val="0"/>
          <c:showCatName val="0"/>
          <c:showSerName val="0"/>
          <c:showPercent val="0"/>
          <c:showBubbleSize val="0"/>
        </c:dLbls>
        <c:marker val="0"/>
        <c:smooth val="0"/>
        <c:axId val="98877906"/>
        <c:axId val="827198839"/>
      </c:lineChart>
      <c:catAx>
        <c:axId val="98877906"/>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in"/>
        <c:minorTickMark val="none"/>
        <c:tickLblPos val="nextTo"/>
        <c:spPr>
          <a:noFill/>
          <a:ln w="9525" cap="flat" cmpd="sng" algn="ctr">
            <a:solidFill>
              <a:schemeClr val="tx1"/>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7198839"/>
        <c:crosses val="autoZero"/>
        <c:auto val="1"/>
        <c:lblAlgn val="ctr"/>
        <c:lblOffset val="100"/>
        <c:noMultiLvlLbl val="0"/>
      </c:catAx>
      <c:valAx>
        <c:axId val="827198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tx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8779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2609</Words>
  <Characters>14872</Characters>
  <Lines>123</Lines>
  <Paragraphs>34</Paragraphs>
  <TotalTime>44</TotalTime>
  <ScaleCrop>false</ScaleCrop>
  <LinksUpToDate>false</LinksUpToDate>
  <CharactersWithSpaces>17447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2021-05-17T05:10:00Z</dcterms:created>
  <dc:creator>summer</dc:creator>
  <cp:lastModifiedBy>summer</cp:lastModifiedBy>
  <dcterms:modified xsi:type="dcterms:W3CDTF">2021-05-26T11:00:00Z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