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30"/>
          <w:szCs w:val="30"/>
          <w:lang w:val="sq-AL"/>
        </w:rPr>
      </w:pPr>
      <w:r>
        <w:rPr>
          <w:rFonts w:hint="eastAsia" w:asciiTheme="minorEastAsia" w:hAnsiTheme="minorEastAsia"/>
          <w:sz w:val="30"/>
          <w:szCs w:val="30"/>
          <w:lang w:val="sq-AL"/>
        </w:rPr>
        <w:t>第二类</w:t>
      </w:r>
      <w:r>
        <w:rPr>
          <w:rFonts w:hint="eastAsia" w:asciiTheme="minorEastAsia" w:hAnsiTheme="minorEastAsia"/>
          <w:sz w:val="30"/>
          <w:szCs w:val="30"/>
          <w:lang w:val="sq-AL" w:eastAsia="zh-CN"/>
        </w:rPr>
        <w:t>、</w:t>
      </w:r>
      <w:r>
        <w:rPr>
          <w:rFonts w:hint="eastAsia" w:asciiTheme="minorEastAsia" w:hAnsiTheme="minorEastAsia"/>
          <w:sz w:val="30"/>
          <w:szCs w:val="30"/>
          <w:lang w:val="sq-AL"/>
        </w:rPr>
        <w:t>第三类非药品类易制毒化学品生产备案</w:t>
      </w:r>
    </w:p>
    <w:p>
      <w:pPr>
        <w:jc w:val="center"/>
        <w:rPr>
          <w:rFonts w:hint="eastAsia" w:asciiTheme="minorEastAsia" w:hAnsiTheme="minorEastAsia"/>
          <w:sz w:val="30"/>
          <w:szCs w:val="30"/>
          <w:lang w:val="sq-AL"/>
        </w:rPr>
      </w:pPr>
      <w:r>
        <w:rPr>
          <w:rFonts w:hint="eastAsia" w:asciiTheme="minorEastAsia" w:hAnsiTheme="minorEastAsia"/>
          <w:sz w:val="30"/>
          <w:szCs w:val="30"/>
          <w:lang w:val="sq-AL"/>
        </w:rPr>
        <w:t>“一次办好”服务指南</w:t>
      </w:r>
    </w:p>
    <w:tbl>
      <w:tblPr>
        <w:tblStyle w:val="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600"/>
        <w:gridCol w:w="2253"/>
        <w:gridCol w:w="1188"/>
        <w:gridCol w:w="1051"/>
        <w:gridCol w:w="901"/>
        <w:gridCol w:w="90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受理窗口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办理项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第二类、第三类非药品类易制毒化学品生产备案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权力事项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第二类、第三类非药品类易制毒化学品生产备案（3708001004502）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事项类型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其他权力</w:t>
            </w:r>
            <w:r>
              <w:rPr>
                <w:rFonts w:asciiTheme="minorEastAsia" w:hAnsiTheme="minorEastAsia"/>
                <w:szCs w:val="21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办理对象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生产企业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设定依据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spacing w:after="0" w:line="52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1.《易制毒化学品管理条例》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2.《非药品类易制毒化学品生产经营许可办法》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申报条件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第二类、第三类易制毒化学品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申报材料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4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材料名称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份数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非药品类易制毒化学品销售品种、销售量、主要流向等情况的备案申请书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易制毒化学品管理制度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overflowPunct w:val="0"/>
              <w:spacing w:after="0" w:line="280" w:lineRule="exact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产品包装说明和使用说明书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92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工商营业执照副本（复印件）</w:t>
            </w:r>
          </w:p>
        </w:tc>
        <w:tc>
          <w:tcPr>
            <w:tcW w:w="9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是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sq-AL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办理程序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1.申请与受理：申报人向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</w:t>
            </w:r>
            <w:r>
              <w:rPr>
                <w:rFonts w:hint="eastAsia" w:ascii="宋体" w:hAnsi="宋体"/>
                <w:szCs w:val="21"/>
              </w:rPr>
              <w:t>基本建设项目综合窗口提交申报材料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或通过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政务服务网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济宁站点</w:t>
            </w:r>
            <w:r>
              <w:rPr>
                <w:rFonts w:hint="eastAsia" w:ascii="宋体" w:hAnsi="宋体"/>
                <w:sz w:val="21"/>
                <w:szCs w:val="21"/>
                <w:lang w:val="en-US"/>
              </w:rPr>
              <w:t>提报电子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val="en-US"/>
              </w:rPr>
              <w:t>材料。</w:t>
            </w:r>
            <w:r>
              <w:rPr>
                <w:rFonts w:hint="eastAsia" w:ascii="宋体" w:hAnsi="宋体"/>
                <w:szCs w:val="21"/>
                <w:lang w:eastAsia="zh-CN"/>
              </w:rPr>
              <w:t>由</w:t>
            </w:r>
            <w:r>
              <w:rPr>
                <w:rFonts w:hint="eastAsia" w:asciiTheme="minorEastAsia" w:hAnsiTheme="minorEastAsia"/>
                <w:szCs w:val="21"/>
              </w:rPr>
              <w:t>基本建设项目综合窗口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受理人员</w:t>
            </w:r>
            <w:r>
              <w:rPr>
                <w:rFonts w:hint="eastAsia" w:ascii="宋体" w:hAnsi="宋体"/>
                <w:szCs w:val="21"/>
              </w:rPr>
              <w:t>初审合格后录入市政务服务监管平台</w:t>
            </w:r>
            <w:r>
              <w:rPr>
                <w:rFonts w:hint="eastAsia" w:ascii="宋体" w:hAnsi="宋体"/>
                <w:szCs w:val="21"/>
                <w:lang w:eastAsia="zh-CN"/>
              </w:rPr>
              <w:t>或在平台上预审通过</w:t>
            </w:r>
            <w:r>
              <w:rPr>
                <w:rFonts w:hint="eastAsia" w:ascii="宋体" w:hAnsi="宋体"/>
                <w:szCs w:val="21"/>
              </w:rPr>
              <w:t>，申报人即时领取《受理通知书》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</w:rPr>
              <w:t>；对需补正材料的，当场告知、出具《补正材料通知书》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或接受电子版通知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.审批与结果送达：市</w:t>
            </w:r>
            <w:r>
              <w:rPr>
                <w:rFonts w:hint="eastAsia" w:ascii="宋体" w:hAnsi="宋体"/>
                <w:szCs w:val="21"/>
                <w:lang w:eastAsia="zh-CN"/>
              </w:rPr>
              <w:t>应急局许可服务科</w:t>
            </w:r>
            <w:r>
              <w:rPr>
                <w:rFonts w:hint="eastAsia" w:ascii="宋体" w:hAnsi="宋体"/>
                <w:szCs w:val="21"/>
              </w:rPr>
              <w:t>工作人员对准予许可的在承诺工作日内进行业务审查、作出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</w:t>
            </w:r>
            <w:r>
              <w:rPr>
                <w:rFonts w:hint="eastAsia" w:ascii="宋体" w:hAnsi="宋体"/>
                <w:szCs w:val="21"/>
                <w:lang w:eastAsia="zh-CN"/>
              </w:rPr>
              <w:t>备案证明</w:t>
            </w:r>
            <w:r>
              <w:rPr>
                <w:rFonts w:hint="eastAsia" w:ascii="宋体" w:hAnsi="宋体"/>
                <w:szCs w:val="21"/>
              </w:rPr>
              <w:t>；对不准予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的在承诺工作日内作出说明理由的不予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决定，</w:t>
            </w:r>
            <w:r>
              <w:rPr>
                <w:rFonts w:hint="eastAsia" w:ascii="宋体" w:hAnsi="宋体"/>
                <w:szCs w:val="21"/>
                <w:lang w:eastAsia="zh-CN"/>
              </w:rPr>
              <w:t>济宁市为民服务中心统一发证窗口</w:t>
            </w:r>
            <w:r>
              <w:rPr>
                <w:rFonts w:hint="eastAsia" w:ascii="宋体" w:hAnsi="宋体"/>
                <w:szCs w:val="21"/>
              </w:rPr>
              <w:t>免费邮寄或现场发放不予</w:t>
            </w:r>
            <w:r>
              <w:rPr>
                <w:rFonts w:hint="eastAsia" w:ascii="宋体" w:hAnsi="宋体"/>
                <w:szCs w:val="21"/>
                <w:lang w:eastAsia="zh-CN"/>
              </w:rPr>
              <w:t>备案</w:t>
            </w:r>
            <w:r>
              <w:rPr>
                <w:rFonts w:hint="eastAsia" w:ascii="宋体" w:hAnsi="宋体"/>
                <w:szCs w:val="21"/>
              </w:rPr>
              <w:t>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法定期限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承诺时限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/>
                <w:szCs w:val="21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收费标准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咨询</w:t>
            </w:r>
            <w:r>
              <w:rPr>
                <w:rFonts w:asciiTheme="minorEastAsia" w:hAnsiTheme="minorEastAsia"/>
                <w:szCs w:val="21"/>
              </w:rPr>
              <w:t>电话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705</w:t>
            </w:r>
          </w:p>
        </w:tc>
        <w:tc>
          <w:tcPr>
            <w:tcW w:w="1188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投诉电话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（0537）2367836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结果送达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济宁市为民服务中心统一发证窗口现场发放或免费邮寄。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153" w:type="dxa"/>
            <w:vAlign w:val="center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受理地址</w:t>
            </w:r>
          </w:p>
        </w:tc>
        <w:tc>
          <w:tcPr>
            <w:tcW w:w="7822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济宁北湖度假区济宁市为民服务中心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41134"/>
    <w:rsid w:val="40032B59"/>
    <w:rsid w:val="4B841134"/>
    <w:rsid w:val="51AD3589"/>
    <w:rsid w:val="5C9A20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2018-11-27T08:12:00Z</dcterms:created>
  <dc:creator>Administrator</dc:creator>
  <cp:lastModifiedBy>j'na'j</cp:lastModifiedBy>
  <dcterms:modified xsi:type="dcterms:W3CDTF">2019-04-28T08:04:17Z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