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95" w:type="dxa"/>
        <w:jc w:val="center"/>
        <w:tblCellMar>
          <w:left w:w="0" w:type="dxa"/>
          <w:right w:w="0" w:type="dxa"/>
        </w:tblCellMar>
        <w:tblLook w:val="04A0"/>
      </w:tblPr>
      <w:tblGrid>
        <w:gridCol w:w="582"/>
        <w:gridCol w:w="404"/>
        <w:gridCol w:w="1019"/>
        <w:gridCol w:w="1075"/>
        <w:gridCol w:w="2076"/>
        <w:gridCol w:w="658"/>
        <w:gridCol w:w="763"/>
        <w:gridCol w:w="643"/>
        <w:gridCol w:w="2352"/>
        <w:gridCol w:w="882"/>
        <w:gridCol w:w="705"/>
        <w:gridCol w:w="884"/>
        <w:gridCol w:w="1076"/>
        <w:gridCol w:w="794"/>
        <w:gridCol w:w="941"/>
        <w:gridCol w:w="941"/>
      </w:tblGrid>
      <w:tr w:rsidR="00E33B09" w:rsidRPr="00E33B09" w:rsidTr="00E33B09">
        <w:trPr>
          <w:trHeight w:val="780"/>
          <w:jc w:val="center"/>
        </w:trPr>
        <w:tc>
          <w:tcPr>
            <w:tcW w:w="15795" w:type="dxa"/>
            <w:gridSpan w:val="16"/>
            <w:tcBorders>
              <w:top w:val="nil"/>
              <w:left w:val="nil"/>
              <w:bottom w:val="single" w:sz="4" w:space="0" w:color="auto"/>
              <w:right w:val="nil"/>
            </w:tcBorders>
            <w:vAlign w:val="center"/>
            <w:hideMark/>
          </w:tcPr>
          <w:p w:rsidR="00E33B09" w:rsidRPr="00E33B09" w:rsidRDefault="00E33B09" w:rsidP="00E33B09">
            <w:pPr>
              <w:widowControl/>
              <w:jc w:val="center"/>
              <w:rPr>
                <w:rFonts w:ascii="微软雅黑" w:eastAsia="微软雅黑" w:hAnsi="微软雅黑" w:cs="宋体"/>
                <w:color w:val="353535"/>
                <w:kern w:val="0"/>
                <w:sz w:val="17"/>
                <w:szCs w:val="17"/>
              </w:rPr>
            </w:pPr>
            <w:r w:rsidRPr="00E33B09">
              <w:rPr>
                <w:rFonts w:ascii="微软雅黑" w:eastAsia="微软雅黑" w:hAnsi="微软雅黑" w:cs="宋体" w:hint="eastAsia"/>
                <w:color w:val="353535"/>
                <w:kern w:val="0"/>
                <w:sz w:val="24"/>
                <w:szCs w:val="24"/>
              </w:rPr>
              <w:t>行政处罚信息公开一览表</w:t>
            </w:r>
          </w:p>
        </w:tc>
      </w:tr>
      <w:tr w:rsidR="00385021" w:rsidRPr="00E33B09" w:rsidTr="00BE154C">
        <w:trPr>
          <w:trHeight w:val="1755"/>
          <w:jc w:val="center"/>
        </w:trPr>
        <w:tc>
          <w:tcPr>
            <w:tcW w:w="582" w:type="dxa"/>
            <w:tcBorders>
              <w:top w:val="nil"/>
              <w:left w:val="single" w:sz="4" w:space="0" w:color="auto"/>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案件类别</w:t>
            </w:r>
          </w:p>
        </w:tc>
        <w:tc>
          <w:tcPr>
            <w:tcW w:w="404" w:type="dxa"/>
            <w:tcBorders>
              <w:top w:val="nil"/>
              <w:left w:val="nil"/>
              <w:bottom w:val="nil"/>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序号</w:t>
            </w:r>
          </w:p>
        </w:tc>
        <w:tc>
          <w:tcPr>
            <w:tcW w:w="1019"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行政处罚决定书文号</w:t>
            </w:r>
          </w:p>
        </w:tc>
        <w:tc>
          <w:tcPr>
            <w:tcW w:w="1075"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案件名称</w:t>
            </w:r>
          </w:p>
        </w:tc>
        <w:tc>
          <w:tcPr>
            <w:tcW w:w="2076"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主要违法事实</w:t>
            </w:r>
          </w:p>
        </w:tc>
        <w:tc>
          <w:tcPr>
            <w:tcW w:w="658"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处罚种类</w:t>
            </w:r>
          </w:p>
        </w:tc>
        <w:tc>
          <w:tcPr>
            <w:tcW w:w="763"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处罚依据</w:t>
            </w:r>
          </w:p>
        </w:tc>
        <w:tc>
          <w:tcPr>
            <w:tcW w:w="643"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法定企业名称或自然人姓名</w:t>
            </w:r>
          </w:p>
        </w:tc>
        <w:tc>
          <w:tcPr>
            <w:tcW w:w="2352"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违法企业组织机构代码(行政相对人居民身份证号)</w:t>
            </w:r>
          </w:p>
        </w:tc>
        <w:tc>
          <w:tcPr>
            <w:tcW w:w="882"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法定代表人姓名</w:t>
            </w:r>
          </w:p>
        </w:tc>
        <w:tc>
          <w:tcPr>
            <w:tcW w:w="705"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处罚结果</w:t>
            </w:r>
          </w:p>
        </w:tc>
        <w:tc>
          <w:tcPr>
            <w:tcW w:w="884"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处罚决定日期</w:t>
            </w:r>
          </w:p>
        </w:tc>
        <w:tc>
          <w:tcPr>
            <w:tcW w:w="1076"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行政处罚的履行方式和期限</w:t>
            </w:r>
          </w:p>
        </w:tc>
        <w:tc>
          <w:tcPr>
            <w:tcW w:w="794"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救济途径</w:t>
            </w:r>
          </w:p>
        </w:tc>
        <w:tc>
          <w:tcPr>
            <w:tcW w:w="941"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涉案产品控制</w:t>
            </w:r>
          </w:p>
        </w:tc>
        <w:tc>
          <w:tcPr>
            <w:tcW w:w="941"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b/>
                <w:bCs/>
                <w:color w:val="000000"/>
                <w:kern w:val="0"/>
                <w:sz w:val="17"/>
                <w:szCs w:val="17"/>
              </w:rPr>
            </w:pPr>
            <w:r w:rsidRPr="00E33B09">
              <w:rPr>
                <w:rFonts w:ascii="微软雅黑" w:eastAsia="微软雅黑" w:hAnsi="微软雅黑" w:cs="宋体" w:hint="eastAsia"/>
                <w:b/>
                <w:bCs/>
                <w:color w:val="000000"/>
                <w:kern w:val="0"/>
                <w:sz w:val="17"/>
                <w:szCs w:val="17"/>
              </w:rPr>
              <w:t>处罚机关</w:t>
            </w:r>
          </w:p>
        </w:tc>
      </w:tr>
      <w:tr w:rsidR="00BE154C" w:rsidRPr="0079621C" w:rsidTr="000339C8">
        <w:trPr>
          <w:trHeight w:val="3403"/>
          <w:jc w:val="center"/>
        </w:trPr>
        <w:tc>
          <w:tcPr>
            <w:tcW w:w="582" w:type="dxa"/>
            <w:tcBorders>
              <w:top w:val="nil"/>
              <w:left w:val="single" w:sz="4" w:space="0" w:color="auto"/>
              <w:bottom w:val="single" w:sz="4" w:space="0" w:color="auto"/>
              <w:right w:val="nil"/>
            </w:tcBorders>
            <w:vAlign w:val="center"/>
            <w:hideMark/>
          </w:tcPr>
          <w:p w:rsidR="00E33B09" w:rsidRPr="00E33B09" w:rsidRDefault="00D117CE"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安全生产</w:t>
            </w:r>
          </w:p>
        </w:tc>
        <w:tc>
          <w:tcPr>
            <w:tcW w:w="404" w:type="dxa"/>
            <w:tcBorders>
              <w:top w:val="single" w:sz="4" w:space="0" w:color="auto"/>
              <w:left w:val="single" w:sz="4" w:space="0" w:color="auto"/>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1</w:t>
            </w:r>
          </w:p>
        </w:tc>
        <w:tc>
          <w:tcPr>
            <w:tcW w:w="1019"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（济）应急罚〔2019〕301号</w:t>
            </w:r>
          </w:p>
        </w:tc>
        <w:tc>
          <w:tcPr>
            <w:tcW w:w="1075"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山东奔腾漆业股份有限公司未执行特殊作业安全管理制度案</w:t>
            </w:r>
          </w:p>
        </w:tc>
        <w:tc>
          <w:tcPr>
            <w:tcW w:w="2076" w:type="dxa"/>
            <w:tcBorders>
              <w:top w:val="nil"/>
              <w:left w:val="nil"/>
              <w:bottom w:val="single" w:sz="4" w:space="0" w:color="auto"/>
              <w:right w:val="single" w:sz="4" w:space="0" w:color="auto"/>
            </w:tcBorders>
            <w:vAlign w:val="center"/>
            <w:hideMark/>
          </w:tcPr>
          <w:p w:rsidR="00E33B09" w:rsidRPr="00E33B09" w:rsidRDefault="00385021" w:rsidP="00385021">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2019年4月24日，济宁市应急管理局执法检查人员联合邹城市应急局执法人员对山东奔腾漆业股份有限公司进行执法检查时，发现该公司建立了动火和受限空间等特殊作业安全管理制度，但未按照安全管理规范执行。证据有营业执照、询问笔录、现场检查笔录、责令限期整改指令书、动火作业及受限空间管理制度、动火及受限空间作业票、被询问人身份证复印件、人事任命决定等材料。</w:t>
            </w:r>
          </w:p>
        </w:tc>
        <w:tc>
          <w:tcPr>
            <w:tcW w:w="658"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罚款</w:t>
            </w:r>
          </w:p>
        </w:tc>
        <w:tc>
          <w:tcPr>
            <w:tcW w:w="763"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《山东省危险化学品安全管理办法》第十三条第二款</w:t>
            </w:r>
          </w:p>
        </w:tc>
        <w:tc>
          <w:tcPr>
            <w:tcW w:w="643"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山东奔腾漆业股份有限公司</w:t>
            </w:r>
          </w:p>
        </w:tc>
        <w:tc>
          <w:tcPr>
            <w:tcW w:w="0" w:type="auto"/>
            <w:tcBorders>
              <w:top w:val="nil"/>
              <w:left w:val="nil"/>
              <w:bottom w:val="single" w:sz="4" w:space="0" w:color="auto"/>
              <w:right w:val="single" w:sz="4" w:space="0" w:color="auto"/>
            </w:tcBorders>
            <w:vAlign w:val="center"/>
            <w:hideMark/>
          </w:tcPr>
          <w:p w:rsidR="00E33B09" w:rsidRPr="00E33B09" w:rsidRDefault="000D6036" w:rsidP="00E33B09">
            <w:pPr>
              <w:widowControl/>
              <w:jc w:val="left"/>
              <w:rPr>
                <w:rFonts w:ascii="微软雅黑" w:eastAsia="微软雅黑" w:hAnsi="微软雅黑" w:cs="宋体"/>
                <w:color w:val="353535"/>
                <w:kern w:val="0"/>
                <w:sz w:val="10"/>
                <w:szCs w:val="10"/>
              </w:rPr>
            </w:pPr>
            <w:r w:rsidRPr="000D6036">
              <w:rPr>
                <w:rFonts w:ascii="微软雅黑" w:eastAsia="微软雅黑" w:hAnsi="微软雅黑" w:cs="宋体"/>
                <w:color w:val="353535"/>
                <w:kern w:val="0"/>
                <w:sz w:val="10"/>
                <w:szCs w:val="10"/>
              </w:rPr>
              <w:t>91370800720762425Q</w:t>
            </w:r>
          </w:p>
        </w:tc>
        <w:tc>
          <w:tcPr>
            <w:tcW w:w="882"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顾士刚</w:t>
            </w:r>
            <w:r w:rsidR="00E33B09" w:rsidRPr="00E33B09">
              <w:rPr>
                <w:rFonts w:ascii="微软雅黑" w:eastAsia="微软雅黑" w:hAnsi="微软雅黑" w:cs="宋体" w:hint="eastAsia"/>
                <w:color w:val="000000"/>
                <w:kern w:val="0"/>
                <w:sz w:val="10"/>
                <w:szCs w:val="10"/>
              </w:rPr>
              <w:t> </w:t>
            </w:r>
          </w:p>
        </w:tc>
        <w:tc>
          <w:tcPr>
            <w:tcW w:w="705"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处人民币贰万元（20000元）罚款</w:t>
            </w:r>
          </w:p>
        </w:tc>
        <w:tc>
          <w:tcPr>
            <w:tcW w:w="884" w:type="dxa"/>
            <w:tcBorders>
              <w:top w:val="nil"/>
              <w:left w:val="nil"/>
              <w:bottom w:val="single" w:sz="4" w:space="0" w:color="auto"/>
              <w:right w:val="single" w:sz="4" w:space="0" w:color="auto"/>
            </w:tcBorders>
            <w:vAlign w:val="center"/>
            <w:hideMark/>
          </w:tcPr>
          <w:p w:rsidR="00E33B09" w:rsidRPr="00E33B09" w:rsidRDefault="00E33B09" w:rsidP="00385021">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2019.</w:t>
            </w:r>
            <w:r w:rsidR="00385021" w:rsidRPr="0079621C">
              <w:rPr>
                <w:rFonts w:ascii="微软雅黑" w:eastAsia="微软雅黑" w:hAnsi="微软雅黑" w:cs="宋体" w:hint="eastAsia"/>
                <w:color w:val="000000"/>
                <w:kern w:val="0"/>
                <w:sz w:val="10"/>
                <w:szCs w:val="10"/>
              </w:rPr>
              <w:t>5</w:t>
            </w:r>
            <w:r w:rsidRPr="00E33B09">
              <w:rPr>
                <w:rFonts w:ascii="微软雅黑" w:eastAsia="微软雅黑" w:hAnsi="微软雅黑" w:cs="宋体" w:hint="eastAsia"/>
                <w:color w:val="000000"/>
                <w:kern w:val="0"/>
                <w:sz w:val="10"/>
                <w:szCs w:val="10"/>
              </w:rPr>
              <w:t>.</w:t>
            </w:r>
            <w:r w:rsidR="00385021" w:rsidRPr="0079621C">
              <w:rPr>
                <w:rFonts w:ascii="微软雅黑" w:eastAsia="微软雅黑" w:hAnsi="微软雅黑" w:cs="宋体" w:hint="eastAsia"/>
                <w:color w:val="000000"/>
                <w:kern w:val="0"/>
                <w:sz w:val="10"/>
                <w:szCs w:val="10"/>
              </w:rPr>
              <w:t>5</w:t>
            </w:r>
          </w:p>
        </w:tc>
        <w:tc>
          <w:tcPr>
            <w:tcW w:w="1076"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自动履行，接到行政处罚决定书之日起15日内</w:t>
            </w:r>
          </w:p>
        </w:tc>
        <w:tc>
          <w:tcPr>
            <w:tcW w:w="794" w:type="dxa"/>
            <w:tcBorders>
              <w:top w:val="nil"/>
              <w:left w:val="nil"/>
              <w:bottom w:val="single" w:sz="4" w:space="0" w:color="auto"/>
              <w:right w:val="single" w:sz="4" w:space="0" w:color="auto"/>
            </w:tcBorders>
            <w:vAlign w:val="center"/>
            <w:hideMark/>
          </w:tcPr>
          <w:p w:rsidR="00E33B09" w:rsidRPr="00E33B09" w:rsidRDefault="00E33B09" w:rsidP="00E33B09">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行政复议   行政诉讼</w:t>
            </w:r>
          </w:p>
        </w:tc>
        <w:tc>
          <w:tcPr>
            <w:tcW w:w="941" w:type="dxa"/>
            <w:tcBorders>
              <w:top w:val="nil"/>
              <w:left w:val="nil"/>
              <w:bottom w:val="single" w:sz="4" w:space="0" w:color="auto"/>
              <w:right w:val="single" w:sz="4" w:space="0" w:color="auto"/>
            </w:tcBorders>
            <w:vAlign w:val="center"/>
            <w:hideMark/>
          </w:tcPr>
          <w:p w:rsidR="00E33B09" w:rsidRPr="00E33B09" w:rsidRDefault="00385021" w:rsidP="00E33B09">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无</w:t>
            </w:r>
          </w:p>
        </w:tc>
        <w:tc>
          <w:tcPr>
            <w:tcW w:w="941" w:type="dxa"/>
            <w:tcBorders>
              <w:top w:val="nil"/>
              <w:left w:val="nil"/>
              <w:bottom w:val="single" w:sz="4" w:space="0" w:color="auto"/>
              <w:right w:val="single" w:sz="4" w:space="0" w:color="auto"/>
            </w:tcBorders>
            <w:vAlign w:val="center"/>
            <w:hideMark/>
          </w:tcPr>
          <w:p w:rsidR="00E33B09" w:rsidRPr="00E33B09" w:rsidRDefault="00E33B09" w:rsidP="00385021">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济宁市</w:t>
            </w:r>
            <w:r w:rsidR="00385021" w:rsidRPr="0079621C">
              <w:rPr>
                <w:rFonts w:ascii="微软雅黑" w:eastAsia="微软雅黑" w:hAnsi="微软雅黑" w:cs="宋体" w:hint="eastAsia"/>
                <w:color w:val="000000"/>
                <w:kern w:val="0"/>
                <w:sz w:val="10"/>
                <w:szCs w:val="10"/>
              </w:rPr>
              <w:t>应急</w:t>
            </w:r>
            <w:r w:rsidRPr="00E33B09">
              <w:rPr>
                <w:rFonts w:ascii="微软雅黑" w:eastAsia="微软雅黑" w:hAnsi="微软雅黑" w:cs="宋体" w:hint="eastAsia"/>
                <w:color w:val="000000"/>
                <w:kern w:val="0"/>
                <w:sz w:val="10"/>
                <w:szCs w:val="10"/>
              </w:rPr>
              <w:t>管理局</w:t>
            </w:r>
          </w:p>
        </w:tc>
      </w:tr>
      <w:tr w:rsidR="0079621C" w:rsidRPr="0079621C" w:rsidTr="000339C8">
        <w:trPr>
          <w:trHeight w:val="2120"/>
          <w:jc w:val="center"/>
        </w:trPr>
        <w:tc>
          <w:tcPr>
            <w:tcW w:w="582" w:type="dxa"/>
            <w:tcBorders>
              <w:top w:val="single" w:sz="4" w:space="0" w:color="auto"/>
              <w:left w:val="single" w:sz="4" w:space="0" w:color="auto"/>
              <w:bottom w:val="single" w:sz="4" w:space="0" w:color="auto"/>
              <w:right w:val="nil"/>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安全生产</w:t>
            </w:r>
          </w:p>
        </w:tc>
        <w:tc>
          <w:tcPr>
            <w:tcW w:w="404" w:type="dxa"/>
            <w:tcBorders>
              <w:top w:val="single" w:sz="4" w:space="0" w:color="auto"/>
              <w:left w:val="single" w:sz="4" w:space="0" w:color="auto"/>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2</w:t>
            </w:r>
          </w:p>
        </w:tc>
        <w:tc>
          <w:tcPr>
            <w:tcW w:w="1019"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（济）应急罚〔2019〕302号</w:t>
            </w:r>
          </w:p>
        </w:tc>
        <w:tc>
          <w:tcPr>
            <w:tcW w:w="1075"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山东泓舒农业科技有限公司未如实记录安全生产教育和培训情况案</w:t>
            </w:r>
          </w:p>
        </w:tc>
        <w:tc>
          <w:tcPr>
            <w:tcW w:w="2076"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2019年5月14日，济宁市应急管理局执法检查人员联合汶上县应急局执法人员对山东泓舒农业科技有限公司进行执法检查时，发现该公司未如实记录（薛善翠和郭翠连）安全生产教育和培训情况。</w:t>
            </w:r>
          </w:p>
        </w:tc>
        <w:tc>
          <w:tcPr>
            <w:tcW w:w="658"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罚款</w:t>
            </w:r>
          </w:p>
        </w:tc>
        <w:tc>
          <w:tcPr>
            <w:tcW w:w="763"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《中华人民共和国安全生产法》第二十五条第三款</w:t>
            </w:r>
          </w:p>
        </w:tc>
        <w:tc>
          <w:tcPr>
            <w:tcW w:w="643"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山东泓舒农业科技有限公司</w:t>
            </w:r>
          </w:p>
        </w:tc>
        <w:tc>
          <w:tcPr>
            <w:tcW w:w="0" w:type="auto"/>
            <w:tcBorders>
              <w:top w:val="single" w:sz="4" w:space="0" w:color="auto"/>
              <w:left w:val="nil"/>
              <w:bottom w:val="single" w:sz="4" w:space="0" w:color="auto"/>
              <w:right w:val="single" w:sz="4" w:space="0" w:color="auto"/>
            </w:tcBorders>
            <w:vAlign w:val="center"/>
            <w:hideMark/>
          </w:tcPr>
          <w:p w:rsidR="0079621C" w:rsidRPr="0079621C" w:rsidRDefault="000D6036" w:rsidP="007B267D">
            <w:pPr>
              <w:widowControl/>
              <w:jc w:val="left"/>
              <w:rPr>
                <w:rFonts w:ascii="微软雅黑" w:eastAsia="微软雅黑" w:hAnsi="微软雅黑" w:cs="宋体"/>
                <w:color w:val="353535"/>
                <w:kern w:val="0"/>
                <w:sz w:val="10"/>
                <w:szCs w:val="10"/>
              </w:rPr>
            </w:pPr>
            <w:r w:rsidRPr="000D6036">
              <w:rPr>
                <w:rFonts w:ascii="微软雅黑" w:eastAsia="微软雅黑" w:hAnsi="微软雅黑" w:cs="宋体"/>
                <w:color w:val="353535"/>
                <w:kern w:val="0"/>
                <w:sz w:val="10"/>
                <w:szCs w:val="10"/>
              </w:rPr>
              <w:t>91370811334515493Y</w:t>
            </w:r>
          </w:p>
        </w:tc>
        <w:tc>
          <w:tcPr>
            <w:tcW w:w="882" w:type="dxa"/>
            <w:tcBorders>
              <w:top w:val="single" w:sz="4" w:space="0" w:color="auto"/>
              <w:left w:val="nil"/>
              <w:bottom w:val="single" w:sz="4" w:space="0" w:color="auto"/>
              <w:right w:val="single" w:sz="4" w:space="0" w:color="auto"/>
            </w:tcBorders>
            <w:vAlign w:val="center"/>
            <w:hideMark/>
          </w:tcPr>
          <w:p w:rsidR="0079621C" w:rsidRPr="0079621C" w:rsidRDefault="00B66FC9" w:rsidP="007B267D">
            <w:pPr>
              <w:widowControl/>
              <w:jc w:val="center"/>
              <w:rPr>
                <w:rFonts w:ascii="微软雅黑" w:eastAsia="微软雅黑" w:hAnsi="微软雅黑" w:cs="宋体" w:hint="eastAsia"/>
                <w:color w:val="000000"/>
                <w:kern w:val="0"/>
                <w:sz w:val="10"/>
                <w:szCs w:val="10"/>
              </w:rPr>
            </w:pPr>
            <w:r>
              <w:rPr>
                <w:rFonts w:ascii="微软雅黑" w:eastAsia="微软雅黑" w:hAnsi="微软雅黑" w:cs="宋体" w:hint="eastAsia"/>
                <w:color w:val="000000"/>
                <w:kern w:val="0"/>
                <w:sz w:val="10"/>
                <w:szCs w:val="10"/>
              </w:rPr>
              <w:t>李智</w:t>
            </w:r>
          </w:p>
        </w:tc>
        <w:tc>
          <w:tcPr>
            <w:tcW w:w="705"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79621C">
              <w:rPr>
                <w:rFonts w:ascii="微软雅黑" w:eastAsia="微软雅黑" w:hAnsi="微软雅黑" w:cs="宋体" w:hint="eastAsia"/>
                <w:color w:val="000000"/>
                <w:kern w:val="0"/>
                <w:sz w:val="10"/>
                <w:szCs w:val="10"/>
              </w:rPr>
              <w:t>处人民币壹万元（10000元）</w:t>
            </w:r>
          </w:p>
        </w:tc>
        <w:tc>
          <w:tcPr>
            <w:tcW w:w="884" w:type="dxa"/>
            <w:tcBorders>
              <w:top w:val="single" w:sz="4" w:space="0" w:color="auto"/>
              <w:left w:val="nil"/>
              <w:bottom w:val="single" w:sz="4" w:space="0" w:color="auto"/>
              <w:right w:val="single" w:sz="4" w:space="0" w:color="auto"/>
            </w:tcBorders>
            <w:vAlign w:val="center"/>
            <w:hideMark/>
          </w:tcPr>
          <w:p w:rsidR="0079621C" w:rsidRPr="0079621C" w:rsidRDefault="0079621C" w:rsidP="007B267D">
            <w:pPr>
              <w:widowControl/>
              <w:jc w:val="center"/>
              <w:rPr>
                <w:rFonts w:ascii="微软雅黑" w:eastAsia="微软雅黑" w:hAnsi="微软雅黑" w:cs="宋体" w:hint="eastAsia"/>
                <w:color w:val="000000"/>
                <w:kern w:val="0"/>
                <w:sz w:val="10"/>
                <w:szCs w:val="10"/>
              </w:rPr>
            </w:pPr>
            <w:r w:rsidRPr="00E33B09">
              <w:rPr>
                <w:rFonts w:ascii="微软雅黑" w:eastAsia="微软雅黑" w:hAnsi="微软雅黑" w:cs="宋体" w:hint="eastAsia"/>
                <w:color w:val="000000"/>
                <w:kern w:val="0"/>
                <w:sz w:val="10"/>
                <w:szCs w:val="10"/>
              </w:rPr>
              <w:t>2019.</w:t>
            </w:r>
            <w:r w:rsidRPr="0079621C">
              <w:rPr>
                <w:rFonts w:ascii="微软雅黑" w:eastAsia="微软雅黑" w:hAnsi="微软雅黑" w:cs="宋体" w:hint="eastAsia"/>
                <w:color w:val="000000"/>
                <w:kern w:val="0"/>
                <w:sz w:val="10"/>
                <w:szCs w:val="10"/>
              </w:rPr>
              <w:t>6</w:t>
            </w:r>
            <w:r w:rsidRPr="00E33B09">
              <w:rPr>
                <w:rFonts w:ascii="微软雅黑" w:eastAsia="微软雅黑" w:hAnsi="微软雅黑" w:cs="宋体" w:hint="eastAsia"/>
                <w:color w:val="000000"/>
                <w:kern w:val="0"/>
                <w:sz w:val="10"/>
                <w:szCs w:val="10"/>
              </w:rPr>
              <w:t>.</w:t>
            </w:r>
            <w:r w:rsidRPr="0079621C">
              <w:rPr>
                <w:rFonts w:ascii="微软雅黑" w:eastAsia="微软雅黑" w:hAnsi="微软雅黑" w:cs="宋体" w:hint="eastAsia"/>
                <w:color w:val="000000"/>
                <w:kern w:val="0"/>
                <w:sz w:val="10"/>
                <w:szCs w:val="10"/>
              </w:rPr>
              <w:t>4</w:t>
            </w:r>
          </w:p>
        </w:tc>
        <w:tc>
          <w:tcPr>
            <w:tcW w:w="1076" w:type="dxa"/>
            <w:tcBorders>
              <w:top w:val="single" w:sz="4" w:space="0" w:color="auto"/>
              <w:left w:val="nil"/>
              <w:bottom w:val="single" w:sz="4" w:space="0" w:color="auto"/>
              <w:right w:val="single" w:sz="4" w:space="0" w:color="auto"/>
            </w:tcBorders>
            <w:vAlign w:val="center"/>
            <w:hideMark/>
          </w:tcPr>
          <w:p w:rsidR="0079621C" w:rsidRPr="00E33B09" w:rsidRDefault="0079621C" w:rsidP="007B267D">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自动履行，接到行政处罚决定书之日起15日内</w:t>
            </w:r>
          </w:p>
        </w:tc>
        <w:tc>
          <w:tcPr>
            <w:tcW w:w="794" w:type="dxa"/>
            <w:tcBorders>
              <w:top w:val="single" w:sz="4" w:space="0" w:color="auto"/>
              <w:left w:val="nil"/>
              <w:bottom w:val="single" w:sz="4" w:space="0" w:color="auto"/>
              <w:right w:val="single" w:sz="4" w:space="0" w:color="auto"/>
            </w:tcBorders>
            <w:vAlign w:val="center"/>
            <w:hideMark/>
          </w:tcPr>
          <w:p w:rsidR="0079621C" w:rsidRPr="00E33B09" w:rsidRDefault="0079621C" w:rsidP="007B267D">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行政复议   行政诉讼</w:t>
            </w:r>
          </w:p>
        </w:tc>
        <w:tc>
          <w:tcPr>
            <w:tcW w:w="941" w:type="dxa"/>
            <w:tcBorders>
              <w:top w:val="single" w:sz="4" w:space="0" w:color="auto"/>
              <w:left w:val="nil"/>
              <w:bottom w:val="single" w:sz="4" w:space="0" w:color="auto"/>
              <w:right w:val="single" w:sz="4" w:space="0" w:color="auto"/>
            </w:tcBorders>
            <w:vAlign w:val="center"/>
            <w:hideMark/>
          </w:tcPr>
          <w:p w:rsidR="0079621C" w:rsidRPr="00E33B09" w:rsidRDefault="0079621C" w:rsidP="007B267D">
            <w:pPr>
              <w:widowControl/>
              <w:jc w:val="center"/>
              <w:rPr>
                <w:rFonts w:ascii="微软雅黑" w:eastAsia="微软雅黑" w:hAnsi="微软雅黑" w:cs="宋体"/>
                <w:color w:val="000000"/>
                <w:kern w:val="0"/>
                <w:sz w:val="10"/>
                <w:szCs w:val="10"/>
              </w:rPr>
            </w:pPr>
            <w:r w:rsidRPr="0079621C">
              <w:rPr>
                <w:rFonts w:ascii="微软雅黑" w:eastAsia="微软雅黑" w:hAnsi="微软雅黑" w:cs="宋体" w:hint="eastAsia"/>
                <w:color w:val="000000"/>
                <w:kern w:val="0"/>
                <w:sz w:val="10"/>
                <w:szCs w:val="10"/>
              </w:rPr>
              <w:t>无</w:t>
            </w:r>
          </w:p>
        </w:tc>
        <w:tc>
          <w:tcPr>
            <w:tcW w:w="941" w:type="dxa"/>
            <w:tcBorders>
              <w:top w:val="single" w:sz="4" w:space="0" w:color="auto"/>
              <w:left w:val="nil"/>
              <w:bottom w:val="single" w:sz="4" w:space="0" w:color="auto"/>
              <w:right w:val="single" w:sz="4" w:space="0" w:color="auto"/>
            </w:tcBorders>
            <w:vAlign w:val="center"/>
            <w:hideMark/>
          </w:tcPr>
          <w:p w:rsidR="0079621C" w:rsidRPr="00E33B09" w:rsidRDefault="0079621C" w:rsidP="007B267D">
            <w:pPr>
              <w:widowControl/>
              <w:jc w:val="center"/>
              <w:rPr>
                <w:rFonts w:ascii="微软雅黑" w:eastAsia="微软雅黑" w:hAnsi="微软雅黑" w:cs="宋体"/>
                <w:color w:val="000000"/>
                <w:kern w:val="0"/>
                <w:sz w:val="10"/>
                <w:szCs w:val="10"/>
              </w:rPr>
            </w:pPr>
            <w:r w:rsidRPr="00E33B09">
              <w:rPr>
                <w:rFonts w:ascii="微软雅黑" w:eastAsia="微软雅黑" w:hAnsi="微软雅黑" w:cs="宋体" w:hint="eastAsia"/>
                <w:color w:val="000000"/>
                <w:kern w:val="0"/>
                <w:sz w:val="10"/>
                <w:szCs w:val="10"/>
              </w:rPr>
              <w:t>济宁市</w:t>
            </w:r>
            <w:r w:rsidRPr="0079621C">
              <w:rPr>
                <w:rFonts w:ascii="微软雅黑" w:eastAsia="微软雅黑" w:hAnsi="微软雅黑" w:cs="宋体" w:hint="eastAsia"/>
                <w:color w:val="000000"/>
                <w:kern w:val="0"/>
                <w:sz w:val="10"/>
                <w:szCs w:val="10"/>
              </w:rPr>
              <w:t>应急</w:t>
            </w:r>
            <w:r w:rsidRPr="00E33B09">
              <w:rPr>
                <w:rFonts w:ascii="微软雅黑" w:eastAsia="微软雅黑" w:hAnsi="微软雅黑" w:cs="宋体" w:hint="eastAsia"/>
                <w:color w:val="000000"/>
                <w:kern w:val="0"/>
                <w:sz w:val="10"/>
                <w:szCs w:val="10"/>
              </w:rPr>
              <w:t>管理局</w:t>
            </w:r>
          </w:p>
        </w:tc>
      </w:tr>
    </w:tbl>
    <w:p w:rsidR="00A1071B" w:rsidRPr="0079621C" w:rsidRDefault="00B66FC9">
      <w:pPr>
        <w:rPr>
          <w:sz w:val="10"/>
          <w:szCs w:val="10"/>
        </w:rPr>
      </w:pPr>
    </w:p>
    <w:sectPr w:rsidR="00A1071B" w:rsidRPr="0079621C" w:rsidSect="00E33B0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3B09"/>
    <w:rsid w:val="000339C8"/>
    <w:rsid w:val="000D6036"/>
    <w:rsid w:val="001F0F9F"/>
    <w:rsid w:val="002102E3"/>
    <w:rsid w:val="00385021"/>
    <w:rsid w:val="007319AC"/>
    <w:rsid w:val="00740EDD"/>
    <w:rsid w:val="0079621C"/>
    <w:rsid w:val="009A4448"/>
    <w:rsid w:val="00B66FC9"/>
    <w:rsid w:val="00BE154C"/>
    <w:rsid w:val="00D117CE"/>
    <w:rsid w:val="00D276B2"/>
    <w:rsid w:val="00E33B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865581">
      <w:bodyDiv w:val="1"/>
      <w:marLeft w:val="0"/>
      <w:marRight w:val="0"/>
      <w:marTop w:val="0"/>
      <w:marBottom w:val="0"/>
      <w:divBdr>
        <w:top w:val="none" w:sz="0" w:space="0" w:color="auto"/>
        <w:left w:val="none" w:sz="0" w:space="0" w:color="auto"/>
        <w:bottom w:val="none" w:sz="0" w:space="0" w:color="auto"/>
        <w:right w:val="none" w:sz="0" w:space="0" w:color="auto"/>
      </w:divBdr>
      <w:divsChild>
        <w:div w:id="127866518">
          <w:marLeft w:val="0"/>
          <w:marRight w:val="0"/>
          <w:marTop w:val="0"/>
          <w:marBottom w:val="0"/>
          <w:divBdr>
            <w:top w:val="none" w:sz="0" w:space="0" w:color="auto"/>
            <w:left w:val="none" w:sz="0" w:space="0" w:color="auto"/>
            <w:bottom w:val="none" w:sz="0" w:space="0" w:color="auto"/>
            <w:right w:val="none" w:sz="0" w:space="0" w:color="auto"/>
          </w:divBdr>
          <w:divsChild>
            <w:div w:id="400105431">
              <w:marLeft w:val="0"/>
              <w:marRight w:val="0"/>
              <w:marTop w:val="0"/>
              <w:marBottom w:val="0"/>
              <w:divBdr>
                <w:top w:val="none" w:sz="0" w:space="0" w:color="auto"/>
                <w:left w:val="none" w:sz="0" w:space="0" w:color="auto"/>
                <w:bottom w:val="none" w:sz="0" w:space="0" w:color="auto"/>
                <w:right w:val="none" w:sz="0" w:space="0" w:color="auto"/>
              </w:divBdr>
              <w:divsChild>
                <w:div w:id="2115049060">
                  <w:marLeft w:val="0"/>
                  <w:marRight w:val="0"/>
                  <w:marTop w:val="0"/>
                  <w:marBottom w:val="0"/>
                  <w:divBdr>
                    <w:top w:val="none" w:sz="0" w:space="0" w:color="auto"/>
                    <w:left w:val="none" w:sz="0" w:space="0" w:color="auto"/>
                    <w:bottom w:val="none" w:sz="0" w:space="0" w:color="auto"/>
                    <w:right w:val="none" w:sz="0" w:space="0" w:color="auto"/>
                  </w:divBdr>
                  <w:divsChild>
                    <w:div w:id="14435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C3365D-572E-4045-B415-B23CE350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2019-10-10T02:51:00Z</dcterms:created>
  <dcterms:modified xsi:type="dcterms:W3CDTF">2019-10-10T04:17:00Z</dcterms:modified>
</cp:coreProperties>
</file>